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71" w:rsidRDefault="0058712A">
      <w:pPr>
        <w:pStyle w:val="Standard"/>
        <w:overflowPunct w:val="0"/>
        <w:spacing w:after="240" w:line="440" w:lineRule="exact"/>
        <w:rPr>
          <w:rFonts w:ascii="標楷體" w:eastAsia="標楷體" w:hAnsi="標楷體" w:cs="標楷體"/>
          <w:bCs/>
          <w:color w:val="000000"/>
          <w:sz w:val="40"/>
        </w:rPr>
      </w:pPr>
      <w:bookmarkStart w:id="0" w:name="_GoBack"/>
      <w:bookmarkEnd w:id="0"/>
      <w:r>
        <w:rPr>
          <w:rFonts w:ascii="標楷體" w:eastAsia="標楷體" w:hAnsi="標楷體" w:cs="標楷體"/>
          <w:bCs/>
          <w:color w:val="000000"/>
          <w:sz w:val="40"/>
        </w:rPr>
        <w:t>公立學校教職員退休資遣撫</w:t>
      </w:r>
      <w:proofErr w:type="gramStart"/>
      <w:r>
        <w:rPr>
          <w:rFonts w:ascii="標楷體" w:eastAsia="標楷體" w:hAnsi="標楷體" w:cs="標楷體"/>
          <w:bCs/>
          <w:color w:val="000000"/>
          <w:sz w:val="40"/>
        </w:rPr>
        <w:t>卹</w:t>
      </w:r>
      <w:proofErr w:type="gramEnd"/>
      <w:r>
        <w:rPr>
          <w:rFonts w:ascii="標楷體" w:eastAsia="標楷體" w:hAnsi="標楷體" w:cs="標楷體"/>
          <w:bCs/>
          <w:color w:val="000000"/>
          <w:sz w:val="40"/>
        </w:rPr>
        <w:t>條例施行細則部分條文修正條文</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olor w:val="000000"/>
          <w:sz w:val="28"/>
        </w:rPr>
        <w:t>六</w:t>
      </w:r>
      <w:r>
        <w:rPr>
          <w:rFonts w:eastAsia="標楷體"/>
          <w:color w:val="000000"/>
          <w:sz w:val="28"/>
        </w:rPr>
        <w:t>條</w:t>
      </w:r>
      <w:r>
        <w:rPr>
          <w:rFonts w:eastAsia="標楷體"/>
          <w:color w:val="000000"/>
          <w:sz w:val="28"/>
        </w:rPr>
        <w:t xml:space="preserve">    </w:t>
      </w:r>
      <w:r>
        <w:rPr>
          <w:rFonts w:eastAsia="Times New Roman"/>
          <w:color w:val="000000"/>
          <w:sz w:val="28"/>
        </w:rPr>
        <w:t xml:space="preserve">　　</w:t>
      </w:r>
      <w:r>
        <w:rPr>
          <w:rFonts w:eastAsia="標楷體" w:cs="新細明體"/>
          <w:color w:val="000000"/>
          <w:sz w:val="28"/>
        </w:rPr>
        <w:t>教職員依本條例第八條第一項規定繳付之公務人員退休撫</w:t>
      </w:r>
      <w:proofErr w:type="gramStart"/>
      <w:r>
        <w:rPr>
          <w:rFonts w:eastAsia="標楷體" w:cs="新細明體"/>
          <w:color w:val="000000"/>
          <w:sz w:val="28"/>
        </w:rPr>
        <w:t>卹</w:t>
      </w:r>
      <w:proofErr w:type="gramEnd"/>
      <w:r>
        <w:rPr>
          <w:rFonts w:eastAsia="標楷體" w:cs="新細明體"/>
          <w:color w:val="000000"/>
          <w:sz w:val="28"/>
        </w:rPr>
        <w:t>基金（以下簡稱退撫基金）費用，由服務學校於每月發薪</w:t>
      </w:r>
      <w:proofErr w:type="gramStart"/>
      <w:r>
        <w:rPr>
          <w:rFonts w:eastAsia="標楷體" w:cs="新細明體"/>
          <w:color w:val="000000"/>
          <w:sz w:val="28"/>
        </w:rPr>
        <w:t>時扣收</w:t>
      </w:r>
      <w:proofErr w:type="gramEnd"/>
      <w:r>
        <w:rPr>
          <w:rFonts w:eastAsia="標楷體" w:cs="新細明體"/>
          <w:color w:val="000000"/>
          <w:sz w:val="28"/>
          <w:szCs w:val="28"/>
        </w:rPr>
        <w:t>，並</w:t>
      </w:r>
      <w:proofErr w:type="gramStart"/>
      <w:r>
        <w:rPr>
          <w:rFonts w:eastAsia="標楷體" w:cs="新細明體"/>
          <w:color w:val="000000"/>
          <w:sz w:val="28"/>
          <w:szCs w:val="28"/>
        </w:rPr>
        <w:t>即彙繳</w:t>
      </w:r>
      <w:proofErr w:type="gramEnd"/>
      <w:r>
        <w:rPr>
          <w:rFonts w:eastAsia="標楷體" w:cs="新細明體"/>
          <w:color w:val="000000"/>
          <w:sz w:val="28"/>
          <w:szCs w:val="28"/>
        </w:rPr>
        <w:t>退撫基金管理機關。</w:t>
      </w:r>
    </w:p>
    <w:p w:rsidR="00C36771" w:rsidRDefault="0058712A">
      <w:pPr>
        <w:pStyle w:val="Standard"/>
        <w:tabs>
          <w:tab w:val="left" w:pos="2858"/>
          <w:tab w:val="left" w:pos="2888"/>
        </w:tabs>
        <w:wordWrap/>
        <w:overflowPunct w:val="0"/>
        <w:spacing w:line="460" w:lineRule="exact"/>
        <w:ind w:left="1418" w:right="42" w:firstLine="630"/>
        <w:rPr>
          <w:rFonts w:eastAsia="標楷體" w:cs="新細明體"/>
          <w:color w:val="000000"/>
          <w:kern w:val="0"/>
          <w:sz w:val="28"/>
        </w:rPr>
      </w:pPr>
      <w:r>
        <w:rPr>
          <w:rFonts w:eastAsia="標楷體" w:cs="新細明體"/>
          <w:color w:val="000000"/>
          <w:kern w:val="0"/>
          <w:sz w:val="28"/>
        </w:rPr>
        <w:t>教職員失蹤</w:t>
      </w:r>
      <w:proofErr w:type="gramStart"/>
      <w:r>
        <w:rPr>
          <w:rFonts w:eastAsia="標楷體" w:cs="新細明體"/>
          <w:color w:val="000000"/>
          <w:kern w:val="0"/>
          <w:sz w:val="28"/>
        </w:rPr>
        <w:t>期間，</w:t>
      </w:r>
      <w:proofErr w:type="gramEnd"/>
      <w:r>
        <w:rPr>
          <w:rFonts w:eastAsia="標楷體" w:cs="新細明體"/>
          <w:color w:val="000000"/>
          <w:kern w:val="0"/>
          <w:sz w:val="28"/>
        </w:rPr>
        <w:t>依相關待遇法令發給全數本（年功）薪額者，仍應由服務學校按月</w:t>
      </w:r>
      <w:proofErr w:type="gramStart"/>
      <w:r>
        <w:rPr>
          <w:rFonts w:eastAsia="標楷體" w:cs="新細明體"/>
          <w:color w:val="000000"/>
          <w:kern w:val="0"/>
          <w:sz w:val="28"/>
        </w:rPr>
        <w:t>繼續扣收退撫</w:t>
      </w:r>
      <w:proofErr w:type="gramEnd"/>
      <w:r>
        <w:rPr>
          <w:rFonts w:eastAsia="標楷體" w:cs="新細明體"/>
          <w:color w:val="000000"/>
          <w:kern w:val="0"/>
          <w:sz w:val="28"/>
        </w:rPr>
        <w:t>基金費用。</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sz w:val="28"/>
        </w:rPr>
        <w:t>七</w:t>
      </w:r>
      <w:r>
        <w:rPr>
          <w:rFonts w:eastAsia="標楷體"/>
          <w:color w:val="000000"/>
          <w:sz w:val="28"/>
        </w:rPr>
        <w:t>條</w:t>
      </w:r>
      <w:r>
        <w:rPr>
          <w:rFonts w:eastAsia="標楷體"/>
          <w:color w:val="000000"/>
          <w:sz w:val="28"/>
        </w:rPr>
        <w:t xml:space="preserve">    </w:t>
      </w:r>
      <w:r>
        <w:rPr>
          <w:rFonts w:eastAsia="Times New Roman"/>
          <w:color w:val="000000"/>
          <w:sz w:val="28"/>
        </w:rPr>
        <w:t xml:space="preserve">　　</w:t>
      </w:r>
      <w:r>
        <w:rPr>
          <w:rFonts w:eastAsia="標楷體" w:cs="新細明體"/>
          <w:color w:val="000000"/>
          <w:sz w:val="28"/>
          <w:szCs w:val="28"/>
        </w:rPr>
        <w:t>本條例第八條第四項所定依法令辦理育嬰留職停薪之年資，以中華民國一百零六年八月十一日以後之育嬰留職停薪年資為限。</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rPr>
        <w:t>教職員於中華民國一百零六年八月十一日以後申請育嬰留職停薪者，於申請育嬰留職停薪時，應依本條例第八條第四項規定選擇於留職停薪</w:t>
      </w:r>
      <w:proofErr w:type="gramStart"/>
      <w:r>
        <w:rPr>
          <w:rFonts w:eastAsia="標楷體" w:cs="新細明體"/>
          <w:color w:val="000000"/>
          <w:kern w:val="0"/>
          <w:sz w:val="28"/>
        </w:rPr>
        <w:t>期間，</w:t>
      </w:r>
      <w:proofErr w:type="gramEnd"/>
      <w:r>
        <w:rPr>
          <w:rFonts w:eastAsia="標楷體" w:cs="新細明體"/>
          <w:color w:val="000000"/>
          <w:kern w:val="0"/>
          <w:sz w:val="28"/>
        </w:rPr>
        <w:t>全額負</w:t>
      </w:r>
      <w:r>
        <w:rPr>
          <w:rFonts w:eastAsia="標楷體" w:cs="新細明體"/>
          <w:color w:val="000000"/>
          <w:kern w:val="0"/>
          <w:sz w:val="28"/>
        </w:rPr>
        <w:t>擔繼續繳付全額退撫基金費用或停止繳費。一經選定，不得變更</w:t>
      </w:r>
      <w:r>
        <w:rPr>
          <w:rFonts w:eastAsia="標楷體" w:cs="新細明體"/>
          <w:color w:val="000000"/>
          <w:kern w:val="0"/>
          <w:sz w:val="28"/>
        </w:rPr>
        <w:t>。</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szCs w:val="28"/>
        </w:rPr>
        <w:t>依前項規定選擇繼續繳付育嬰留職停薪期間之全額退撫基金費用者，其應繳付之退撫基金費用，按月交由服務學校</w:t>
      </w:r>
      <w:proofErr w:type="gramStart"/>
      <w:r>
        <w:rPr>
          <w:rFonts w:eastAsia="標楷體" w:cs="新細明體"/>
          <w:color w:val="000000"/>
          <w:kern w:val="0"/>
          <w:sz w:val="28"/>
          <w:szCs w:val="28"/>
        </w:rPr>
        <w:t>併</w:t>
      </w:r>
      <w:proofErr w:type="gramEnd"/>
      <w:r>
        <w:rPr>
          <w:rFonts w:eastAsia="標楷體" w:cs="新細明體"/>
          <w:color w:val="000000"/>
          <w:kern w:val="0"/>
          <w:sz w:val="28"/>
          <w:szCs w:val="28"/>
        </w:rPr>
        <w:t>同其他參加退撫基金人員之退撫基金費用，</w:t>
      </w:r>
      <w:r>
        <w:rPr>
          <w:rFonts w:eastAsia="標楷體" w:cs="新細明體"/>
          <w:color w:val="000000"/>
          <w:sz w:val="28"/>
        </w:rPr>
        <w:t>一併繳付</w:t>
      </w:r>
      <w:r>
        <w:rPr>
          <w:rFonts w:eastAsia="標楷體" w:cs="新細明體"/>
          <w:color w:val="000000"/>
          <w:sz w:val="28"/>
        </w:rPr>
        <w:t>退撫基金管理機關</w:t>
      </w:r>
      <w:r>
        <w:rPr>
          <w:rFonts w:eastAsia="標楷體" w:cs="新細明體"/>
          <w:color w:val="000000"/>
          <w:sz w:val="28"/>
        </w:rPr>
        <w:t>。</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szCs w:val="28"/>
        </w:rPr>
        <w:t>依第二項規定選擇繼續繳付育嬰留職停薪期間之全額退撫基金費用者，得遞延三年繳付，由服務學校比照前條第一項或前項規定辦理</w:t>
      </w:r>
      <w:r>
        <w:rPr>
          <w:rFonts w:eastAsia="標楷體" w:cs="新細明體"/>
          <w:color w:val="000000"/>
          <w:kern w:val="0"/>
          <w:sz w:val="28"/>
          <w:szCs w:val="28"/>
        </w:rPr>
        <w:t>。</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rPr>
        <w:t>依前項規定遞延繳付者，於遞延三年期滿前，自願提前一次繳清遞延之全額退撫基金費用時，其應繳付之退撫基金費用，交由服務學校</w:t>
      </w:r>
      <w:proofErr w:type="gramStart"/>
      <w:r>
        <w:rPr>
          <w:rFonts w:eastAsia="標楷體" w:cs="新細明體"/>
          <w:color w:val="000000"/>
          <w:kern w:val="0"/>
          <w:sz w:val="28"/>
        </w:rPr>
        <w:t>併</w:t>
      </w:r>
      <w:proofErr w:type="gramEnd"/>
      <w:r>
        <w:rPr>
          <w:rFonts w:eastAsia="標楷體" w:cs="新細明體"/>
          <w:color w:val="000000"/>
          <w:kern w:val="0"/>
          <w:sz w:val="28"/>
        </w:rPr>
        <w:t>同其他參加退撫基金人員之退撫基金費用，</w:t>
      </w:r>
      <w:r>
        <w:rPr>
          <w:rFonts w:eastAsia="標楷體" w:cs="新細明體"/>
          <w:color w:val="000000"/>
          <w:sz w:val="28"/>
        </w:rPr>
        <w:t>一併繳付</w:t>
      </w:r>
      <w:r>
        <w:rPr>
          <w:rFonts w:eastAsia="標楷體" w:cs="新細明體"/>
          <w:color w:val="000000"/>
          <w:sz w:val="28"/>
        </w:rPr>
        <w:t>退撫基金管理機關</w:t>
      </w:r>
      <w:r>
        <w:rPr>
          <w:rFonts w:eastAsia="標楷體" w:cs="新細明體"/>
          <w:color w:val="000000"/>
          <w:sz w:val="28"/>
        </w:rPr>
        <w:t>。</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rPr>
        <w:t>前三項所定應繳付之退撫基金費用，按第二項教職員選擇繼續繳付全額退撫基金費用之育嬰留職停薪期間</w:t>
      </w:r>
      <w:proofErr w:type="gramStart"/>
      <w:r>
        <w:rPr>
          <w:rFonts w:eastAsia="標楷體" w:cs="新細明體"/>
          <w:color w:val="000000"/>
          <w:kern w:val="0"/>
          <w:sz w:val="28"/>
        </w:rPr>
        <w:t>所敘之薪</w:t>
      </w:r>
      <w:proofErr w:type="gramEnd"/>
      <w:r>
        <w:rPr>
          <w:rFonts w:eastAsia="標楷體" w:cs="新細明體"/>
          <w:color w:val="000000"/>
          <w:kern w:val="0"/>
          <w:sz w:val="28"/>
        </w:rPr>
        <w:t>級，依在職同等級教職員本（年功）薪額計算</w:t>
      </w:r>
      <w:r>
        <w:rPr>
          <w:rFonts w:eastAsia="標楷體" w:cs="新細明體"/>
          <w:color w:val="000000"/>
          <w:kern w:val="0"/>
          <w:sz w:val="28"/>
        </w:rPr>
        <w:t>。</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sz w:val="28"/>
        </w:rPr>
        <w:t>九</w:t>
      </w:r>
      <w:r>
        <w:rPr>
          <w:rFonts w:eastAsia="標楷體"/>
          <w:color w:val="000000"/>
          <w:sz w:val="28"/>
        </w:rPr>
        <w:t>條</w:t>
      </w:r>
      <w:r>
        <w:rPr>
          <w:rFonts w:eastAsia="標楷體"/>
          <w:color w:val="000000"/>
          <w:sz w:val="28"/>
        </w:rPr>
        <w:t xml:space="preserve">    </w:t>
      </w:r>
      <w:r>
        <w:rPr>
          <w:rFonts w:eastAsia="Times New Roman"/>
          <w:color w:val="000000"/>
          <w:sz w:val="28"/>
        </w:rPr>
        <w:t xml:space="preserve">　　</w:t>
      </w:r>
      <w:r>
        <w:rPr>
          <w:rFonts w:eastAsia="標楷體" w:cs="新細明體"/>
          <w:color w:val="000000"/>
          <w:kern w:val="0"/>
          <w:sz w:val="28"/>
          <w:szCs w:val="28"/>
        </w:rPr>
        <w:t>退撫基金管理機關</w:t>
      </w:r>
      <w:r>
        <w:rPr>
          <w:rFonts w:eastAsia="標楷體" w:cs="新細明體"/>
          <w:color w:val="000000"/>
          <w:kern w:val="0"/>
          <w:sz w:val="28"/>
          <w:szCs w:val="28"/>
        </w:rPr>
        <w:t>依本條例第十條第二項與第三項、第八十六條第三項及第八十七條第五項規定，一次發還教職員或</w:t>
      </w:r>
      <w:r>
        <w:rPr>
          <w:rFonts w:eastAsia="標楷體" w:cs="新細明體"/>
          <w:color w:val="000000"/>
          <w:kern w:val="0"/>
          <w:sz w:val="28"/>
          <w:szCs w:val="28"/>
        </w:rPr>
        <w:lastRenderedPageBreak/>
        <w:t>其遺族退撫基金費用本息時，以臺灣銀行股份有限公司一年期定期存款利率加計利息；其利息按年複利計算至離職之前一日止或死亡當月止</w:t>
      </w:r>
      <w:r>
        <w:rPr>
          <w:rFonts w:eastAsia="標楷體" w:cs="新細明體"/>
          <w:color w:val="000000"/>
          <w:kern w:val="0"/>
          <w:sz w:val="28"/>
          <w:szCs w:val="28"/>
        </w:rPr>
        <w:t>。</w:t>
      </w:r>
    </w:p>
    <w:p w:rsidR="00C36771" w:rsidRDefault="0058712A">
      <w:pPr>
        <w:pStyle w:val="Standard"/>
        <w:tabs>
          <w:tab w:val="left" w:pos="2858"/>
          <w:tab w:val="left" w:pos="2888"/>
        </w:tabs>
        <w:wordWrap/>
        <w:overflowPunct w:val="0"/>
        <w:spacing w:line="460" w:lineRule="exact"/>
        <w:ind w:left="1418" w:right="42" w:firstLine="630"/>
        <w:rPr>
          <w:rFonts w:eastAsia="標楷體"/>
          <w:color w:val="000000"/>
          <w:sz w:val="28"/>
        </w:rPr>
      </w:pPr>
      <w:r>
        <w:rPr>
          <w:rFonts w:eastAsia="標楷體" w:cs="新細明體"/>
          <w:color w:val="000000"/>
          <w:kern w:val="0"/>
          <w:sz w:val="28"/>
        </w:rPr>
        <w:t>中華民國一百零七年六月三十日以前已離職且適用原學校教職員退休條例第八條第五項規定之教職員，於一百零七年七月一日以後始申請發還退撫基金費用本息者，仍照原學校教職員退休條例規定計算發還退撫基金費用本息。</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kern w:val="0"/>
          <w:sz w:val="28"/>
        </w:rPr>
        <w:t>十二</w:t>
      </w:r>
      <w:r>
        <w:rPr>
          <w:rFonts w:eastAsia="標楷體"/>
          <w:color w:val="000000"/>
          <w:sz w:val="28"/>
        </w:rPr>
        <w:t>條</w:t>
      </w:r>
      <w:r>
        <w:rPr>
          <w:rFonts w:eastAsia="Times New Roman"/>
          <w:color w:val="000000"/>
          <w:sz w:val="28"/>
        </w:rPr>
        <w:t xml:space="preserve">　　    </w:t>
      </w:r>
      <w:r>
        <w:rPr>
          <w:rFonts w:eastAsia="標楷體" w:cs="新細明體"/>
          <w:color w:val="000000"/>
          <w:sz w:val="28"/>
          <w:szCs w:val="28"/>
        </w:rPr>
        <w:t>本條例</w:t>
      </w:r>
      <w:r>
        <w:rPr>
          <w:rFonts w:ascii="標楷體" w:eastAsia="標楷體" w:hAnsi="標楷體" w:cs="新細明體"/>
          <w:color w:val="000000"/>
          <w:kern w:val="0"/>
          <w:sz w:val="28"/>
          <w:szCs w:val="28"/>
        </w:rPr>
        <w:t>第十二條第二項第二款所稱經銓敘審定之公務人員，指經銓敘部依據公務人員任用法律審定資格或登記者，或經法律授權由相關主管機關審定資格者。</w:t>
      </w:r>
    </w:p>
    <w:p w:rsidR="00C36771" w:rsidRDefault="0058712A">
      <w:pPr>
        <w:pStyle w:val="Standard"/>
        <w:tabs>
          <w:tab w:val="left" w:pos="3527"/>
        </w:tabs>
        <w:wordWrap/>
        <w:overflowPunct w:val="0"/>
        <w:spacing w:line="460" w:lineRule="exact"/>
        <w:ind w:left="1400" w:right="42" w:hanging="1400"/>
        <w:rPr>
          <w:color w:val="000000"/>
        </w:rPr>
      </w:pPr>
      <w:r>
        <w:rPr>
          <w:color w:val="000000"/>
        </w:rPr>
        <w:t xml:space="preserve">                                     </w:t>
      </w:r>
      <w:r>
        <w:rPr>
          <w:rFonts w:eastAsia="標楷體" w:cs="新細明體"/>
          <w:color w:val="000000"/>
          <w:kern w:val="0"/>
          <w:sz w:val="28"/>
        </w:rPr>
        <w:t>本條例第十二條第二項第五款所稱雇員，指依原雇員管理規則進用之編制內雇員；所稱同</w:t>
      </w:r>
      <w:r>
        <w:rPr>
          <w:rFonts w:eastAsia="標楷體" w:cs="新細明體"/>
          <w:color w:val="000000"/>
          <w:kern w:val="0"/>
          <w:sz w:val="28"/>
        </w:rPr>
        <w:t>委任及委任或比照警佐待遇警察人員，指警察人員人事條例第三十九條第二項及第四十條之一所定同委任及委任待遇人員或支領警佐待遇人員。</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s="新細明體"/>
          <w:color w:val="000000"/>
          <w:kern w:val="0"/>
          <w:sz w:val="28"/>
        </w:rPr>
        <w:t>第四十五條</w:t>
      </w:r>
      <w:r>
        <w:rPr>
          <w:rFonts w:eastAsia="Times New Roman" w:cs="新細明體"/>
          <w:color w:val="000000"/>
          <w:kern w:val="0"/>
          <w:sz w:val="28"/>
        </w:rPr>
        <w:t xml:space="preserve">　　</w:t>
      </w:r>
      <w:r>
        <w:rPr>
          <w:rFonts w:eastAsia="標楷體" w:cs="新細明體"/>
          <w:color w:val="000000"/>
          <w:kern w:val="0"/>
          <w:sz w:val="28"/>
          <w:szCs w:val="28"/>
        </w:rPr>
        <w:t>教職員申請退休所附退休事實表、任職證件及其他相關證明文件，應先由服務學校人事主管切實審查；遇有所附證件不足或有錯誤者，應通</w:t>
      </w:r>
      <w:r>
        <w:rPr>
          <w:rFonts w:eastAsia="標楷體" w:cs="新細明體"/>
          <w:color w:val="000000"/>
          <w:kern w:val="0"/>
          <w:sz w:val="28"/>
          <w:szCs w:val="28"/>
        </w:rPr>
        <w:t>知</w:t>
      </w:r>
      <w:r>
        <w:rPr>
          <w:rFonts w:eastAsia="標楷體" w:cs="新細明體"/>
          <w:color w:val="000000"/>
          <w:kern w:val="0"/>
          <w:sz w:val="28"/>
          <w:szCs w:val="28"/>
        </w:rPr>
        <w:t>限期補正後，連同補正情形</w:t>
      </w:r>
      <w:r>
        <w:rPr>
          <w:rFonts w:eastAsia="標楷體" w:cs="新細明體"/>
          <w:color w:val="000000"/>
          <w:kern w:val="0"/>
          <w:sz w:val="28"/>
          <w:szCs w:val="28"/>
        </w:rPr>
        <w:t>彙送主管機關審定</w:t>
      </w:r>
      <w:r>
        <w:rPr>
          <w:rFonts w:eastAsia="標楷體" w:cs="新細明體"/>
          <w:color w:val="000000"/>
          <w:kern w:val="0"/>
          <w:sz w:val="28"/>
          <w:szCs w:val="28"/>
        </w:rPr>
        <w:t>。</w:t>
      </w:r>
    </w:p>
    <w:p w:rsidR="00C36771" w:rsidRDefault="0058712A">
      <w:pPr>
        <w:pStyle w:val="Standard"/>
        <w:tabs>
          <w:tab w:val="left" w:pos="3527"/>
        </w:tabs>
        <w:wordWrap/>
        <w:overflowPunct w:val="0"/>
        <w:spacing w:line="460" w:lineRule="exact"/>
        <w:ind w:left="1400" w:right="42" w:hanging="1400"/>
        <w:rPr>
          <w:color w:val="000000"/>
        </w:rPr>
      </w:pPr>
      <w:r>
        <w:rPr>
          <w:color w:val="000000"/>
        </w:rPr>
        <w:t xml:space="preserve">                                    </w:t>
      </w:r>
      <w:r>
        <w:rPr>
          <w:rFonts w:eastAsia="標楷體" w:cs="新細明體"/>
          <w:color w:val="000000"/>
          <w:kern w:val="0"/>
          <w:sz w:val="28"/>
          <w:szCs w:val="28"/>
        </w:rPr>
        <w:t>教職員有本條例第二十五條</w:t>
      </w:r>
      <w:r>
        <w:rPr>
          <w:rFonts w:eastAsia="標楷體" w:cs="新細明體"/>
          <w:color w:val="000000"/>
          <w:kern w:val="0"/>
          <w:sz w:val="28"/>
          <w:szCs w:val="28"/>
        </w:rPr>
        <w:t>第一項所</w:t>
      </w:r>
      <w:r>
        <w:rPr>
          <w:rFonts w:eastAsia="標楷體" w:cs="新細明體"/>
          <w:color w:val="000000"/>
          <w:kern w:val="0"/>
          <w:sz w:val="28"/>
          <w:szCs w:val="28"/>
        </w:rPr>
        <w:t>定應不予受理退休案情事之</w:t>
      </w:r>
      <w:proofErr w:type="gramStart"/>
      <w:r>
        <w:rPr>
          <w:rFonts w:eastAsia="標楷體" w:cs="新細明體"/>
          <w:color w:val="000000"/>
          <w:kern w:val="0"/>
          <w:sz w:val="28"/>
          <w:szCs w:val="28"/>
        </w:rPr>
        <w:t>一</w:t>
      </w:r>
      <w:proofErr w:type="gramEnd"/>
      <w:r>
        <w:rPr>
          <w:rFonts w:eastAsia="標楷體" w:cs="新細明體"/>
          <w:color w:val="000000"/>
          <w:kern w:val="0"/>
          <w:sz w:val="28"/>
          <w:szCs w:val="28"/>
        </w:rPr>
        <w:t>而申請退休時，主管機關及各學校應不予受理</w:t>
      </w:r>
      <w:r>
        <w:rPr>
          <w:rFonts w:eastAsia="標楷體" w:cs="新細明體"/>
          <w:color w:val="000000"/>
          <w:kern w:val="0"/>
          <w:sz w:val="28"/>
          <w:szCs w:val="28"/>
        </w:rPr>
        <w:t>。</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kern w:val="0"/>
          <w:sz w:val="28"/>
        </w:rPr>
        <w:t>四十六</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rPr>
        <w:t>各學校受理涉案或涉有違失行為之所屬教師、研究人員、專業技術人員、專業及技術教師、專任運動教練及新制助教退休或資遣案時，應依下列規定辦理</w:t>
      </w:r>
      <w:r>
        <w:rPr>
          <w:rFonts w:eastAsia="標楷體"/>
          <w:color w:val="000000"/>
          <w:sz w:val="28"/>
        </w:rPr>
        <w:t>：</w:t>
      </w:r>
    </w:p>
    <w:p w:rsidR="00C36771" w:rsidRDefault="0058712A">
      <w:pPr>
        <w:pStyle w:val="Standard"/>
        <w:numPr>
          <w:ilvl w:val="0"/>
          <w:numId w:val="19"/>
        </w:numPr>
        <w:tabs>
          <w:tab w:val="left" w:pos="3965"/>
        </w:tabs>
        <w:wordWrap/>
        <w:overflowPunct w:val="0"/>
        <w:spacing w:line="460" w:lineRule="exact"/>
        <w:ind w:left="1984" w:right="57" w:hanging="567"/>
        <w:rPr>
          <w:rFonts w:eastAsia="標楷體"/>
          <w:color w:val="000000"/>
          <w:sz w:val="28"/>
        </w:rPr>
      </w:pPr>
      <w:r>
        <w:rPr>
          <w:rFonts w:eastAsia="標楷體" w:cs="新細明體"/>
          <w:color w:val="000000"/>
          <w:sz w:val="28"/>
        </w:rPr>
        <w:t>召開教師評審委員會、教練評審委員會、性別平等教育委員會或依法令組成之相關委員會，就其涉案或違失情節，</w:t>
      </w:r>
      <w:proofErr w:type="gramStart"/>
      <w:r>
        <w:rPr>
          <w:rFonts w:eastAsia="標楷體" w:cs="新細明體"/>
          <w:color w:val="000000"/>
          <w:sz w:val="28"/>
        </w:rPr>
        <w:t>詳慎審</w:t>
      </w:r>
      <w:proofErr w:type="gramEnd"/>
      <w:r>
        <w:rPr>
          <w:rFonts w:eastAsia="標楷體" w:cs="新細明體"/>
          <w:color w:val="000000"/>
          <w:sz w:val="28"/>
        </w:rPr>
        <w:t>酌是否應依法令作成解聘、停聘或</w:t>
      </w:r>
      <w:proofErr w:type="gramStart"/>
      <w:r>
        <w:rPr>
          <w:rFonts w:eastAsia="標楷體" w:cs="新細明體"/>
          <w:color w:val="000000"/>
          <w:sz w:val="28"/>
        </w:rPr>
        <w:t>不</w:t>
      </w:r>
      <w:proofErr w:type="gramEnd"/>
      <w:r>
        <w:rPr>
          <w:rFonts w:eastAsia="標楷體" w:cs="新細明體"/>
          <w:color w:val="000000"/>
          <w:sz w:val="28"/>
        </w:rPr>
        <w:t>續聘之決議後，循程序報請主管機關核准；或依公務員懲戒法規定，移送懲戒或送請監察院審查，以及應否依相關法律核予停職或免職</w:t>
      </w:r>
      <w:r>
        <w:rPr>
          <w:rFonts w:eastAsia="標楷體" w:cs="新細明體"/>
          <w:color w:val="000000"/>
          <w:sz w:val="28"/>
        </w:rPr>
        <w:t>。</w:t>
      </w:r>
    </w:p>
    <w:p w:rsidR="00C36771" w:rsidRDefault="0058712A">
      <w:pPr>
        <w:pStyle w:val="Standard"/>
        <w:numPr>
          <w:ilvl w:val="0"/>
          <w:numId w:val="9"/>
        </w:numPr>
        <w:tabs>
          <w:tab w:val="left" w:pos="3965"/>
        </w:tabs>
        <w:wordWrap/>
        <w:overflowPunct w:val="0"/>
        <w:spacing w:line="460" w:lineRule="exact"/>
        <w:ind w:left="1984" w:right="57" w:hanging="567"/>
        <w:rPr>
          <w:rFonts w:eastAsia="標楷體" w:cs="新細明體"/>
          <w:color w:val="000000"/>
          <w:sz w:val="28"/>
        </w:rPr>
      </w:pPr>
      <w:r>
        <w:rPr>
          <w:rFonts w:eastAsia="標楷體" w:cs="新細明體"/>
          <w:color w:val="000000"/>
          <w:sz w:val="28"/>
        </w:rPr>
        <w:t>經召開教師評審委員會、教練評審委員會、性別平等教</w:t>
      </w:r>
      <w:r>
        <w:rPr>
          <w:rFonts w:eastAsia="標楷體" w:cs="新細明體"/>
          <w:color w:val="000000"/>
          <w:sz w:val="28"/>
        </w:rPr>
        <w:lastRenderedPageBreak/>
        <w:t>育委員會或依法令組成之相關委員會審酌後，認為有須依法令作成解聘、停</w:t>
      </w:r>
      <w:r>
        <w:rPr>
          <w:rFonts w:eastAsia="標楷體" w:cs="新細明體"/>
          <w:color w:val="000000"/>
          <w:sz w:val="28"/>
        </w:rPr>
        <w:t>聘或</w:t>
      </w:r>
      <w:proofErr w:type="gramStart"/>
      <w:r>
        <w:rPr>
          <w:rFonts w:eastAsia="標楷體" w:cs="新細明體"/>
          <w:color w:val="000000"/>
          <w:sz w:val="28"/>
        </w:rPr>
        <w:t>不</w:t>
      </w:r>
      <w:proofErr w:type="gramEnd"/>
      <w:r>
        <w:rPr>
          <w:rFonts w:eastAsia="標楷體" w:cs="新細明體"/>
          <w:color w:val="000000"/>
          <w:sz w:val="28"/>
        </w:rPr>
        <w:t>續聘之決議或依公務員懲戒法規定移送懲戒或送請監察院審查而不同意受理其申請退休或資遣時，應書面通知當事人並敘明理由；如認無須依法令作成解聘、停聘或</w:t>
      </w:r>
      <w:proofErr w:type="gramStart"/>
      <w:r>
        <w:rPr>
          <w:rFonts w:eastAsia="標楷體" w:cs="新細明體"/>
          <w:color w:val="000000"/>
          <w:sz w:val="28"/>
        </w:rPr>
        <w:t>不</w:t>
      </w:r>
      <w:proofErr w:type="gramEnd"/>
      <w:r>
        <w:rPr>
          <w:rFonts w:eastAsia="標楷體" w:cs="新細明體"/>
          <w:color w:val="000000"/>
          <w:sz w:val="28"/>
        </w:rPr>
        <w:t>續聘之決議或依公務員懲戒法規定移送懲戒或送請監察院審查而仍同意受理其申請退休或資遣時，應於彙送主管機關之函內，敘</w:t>
      </w:r>
      <w:proofErr w:type="gramStart"/>
      <w:r>
        <w:rPr>
          <w:rFonts w:eastAsia="標楷體" w:cs="新細明體"/>
          <w:color w:val="000000"/>
          <w:sz w:val="28"/>
        </w:rPr>
        <w:t>明理由並檢</w:t>
      </w:r>
      <w:proofErr w:type="gramEnd"/>
      <w:r>
        <w:rPr>
          <w:rFonts w:eastAsia="標楷體" w:cs="新細明體"/>
          <w:color w:val="000000"/>
          <w:sz w:val="28"/>
        </w:rPr>
        <w:t>同相關審查資料，以明責任。</w:t>
      </w:r>
    </w:p>
    <w:p w:rsidR="00C36771" w:rsidRDefault="0058712A">
      <w:pPr>
        <w:pStyle w:val="Standard"/>
        <w:numPr>
          <w:ilvl w:val="0"/>
          <w:numId w:val="9"/>
        </w:numPr>
        <w:tabs>
          <w:tab w:val="left" w:pos="3965"/>
        </w:tabs>
        <w:wordWrap/>
        <w:overflowPunct w:val="0"/>
        <w:spacing w:line="460" w:lineRule="exact"/>
        <w:ind w:left="1984" w:right="57" w:hanging="567"/>
        <w:rPr>
          <w:rFonts w:eastAsia="標楷體"/>
          <w:color w:val="000000"/>
          <w:sz w:val="28"/>
        </w:rPr>
      </w:pPr>
      <w:r>
        <w:rPr>
          <w:rFonts w:eastAsia="標楷體" w:cs="新細明體"/>
          <w:color w:val="000000"/>
          <w:sz w:val="28"/>
        </w:rPr>
        <w:t>前二款</w:t>
      </w:r>
      <w:r>
        <w:rPr>
          <w:rFonts w:eastAsia="標楷體" w:cs="新細明體"/>
          <w:color w:val="000000"/>
          <w:sz w:val="28"/>
        </w:rPr>
        <w:t>所定程序，各學校應自收受涉案或涉有違失行為之所屬教師、研究人員、專業技術人員、專業及技術教師、專任運動教練及新制助教退休或資遣案之日起二個月內處理終結；必要時，得延長一次，並於原處理期間屆滿前，將延長之事</w:t>
      </w:r>
      <w:r>
        <w:rPr>
          <w:rFonts w:eastAsia="標楷體" w:cs="新細明體"/>
          <w:color w:val="000000"/>
          <w:sz w:val="28"/>
        </w:rPr>
        <w:t>由通知當事人</w:t>
      </w:r>
      <w:r>
        <w:rPr>
          <w:rFonts w:eastAsia="標楷體" w:cs="新細明體"/>
          <w:color w:val="000000"/>
          <w:sz w:val="28"/>
        </w:rPr>
        <w:t>。</w:t>
      </w:r>
    </w:p>
    <w:p w:rsidR="00C36771" w:rsidRDefault="0058712A">
      <w:pPr>
        <w:pStyle w:val="Standard"/>
        <w:tabs>
          <w:tab w:val="left" w:pos="3527"/>
        </w:tabs>
        <w:wordWrap/>
        <w:overflowPunct w:val="0"/>
        <w:spacing w:line="460" w:lineRule="exact"/>
        <w:ind w:left="1400" w:right="42" w:hanging="1400"/>
        <w:rPr>
          <w:color w:val="000000"/>
        </w:rPr>
      </w:pPr>
      <w:r>
        <w:rPr>
          <w:color w:val="000000"/>
        </w:rPr>
        <w:t xml:space="preserve">          </w:t>
      </w:r>
      <w:r>
        <w:rPr>
          <w:rFonts w:eastAsia="標楷體" w:cs="新細明體"/>
          <w:color w:val="000000"/>
          <w:kern w:val="0"/>
          <w:sz w:val="28"/>
        </w:rPr>
        <w:t>現任校長涉案或涉有違失行為，其於申請自願退休或資遣時，應由主管機關依教育人員任用條例及公務員懲戒法等規定辦理</w:t>
      </w:r>
      <w:r>
        <w:rPr>
          <w:rFonts w:eastAsia="標楷體" w:cs="新細明體"/>
          <w:color w:val="000000"/>
          <w:kern w:val="0"/>
          <w:sz w:val="28"/>
        </w:rPr>
        <w:t>。</w:t>
      </w:r>
    </w:p>
    <w:p w:rsidR="00C36771" w:rsidRDefault="0058712A">
      <w:pPr>
        <w:pStyle w:val="Standard"/>
        <w:wordWrap/>
        <w:overflowPunct w:val="0"/>
        <w:spacing w:line="460" w:lineRule="exact"/>
        <w:ind w:left="1418" w:right="42"/>
        <w:rPr>
          <w:rFonts w:eastAsia="標楷體"/>
          <w:color w:val="000000"/>
          <w:sz w:val="28"/>
        </w:rPr>
      </w:pPr>
      <w:r>
        <w:rPr>
          <w:rFonts w:eastAsia="標楷體"/>
          <w:color w:val="000000"/>
          <w:sz w:val="28"/>
        </w:rPr>
        <w:t xml:space="preserve">    </w:t>
      </w:r>
      <w:r>
        <w:rPr>
          <w:rFonts w:eastAsia="標楷體" w:cs="新細明體"/>
          <w:color w:val="000000"/>
          <w:kern w:val="0"/>
          <w:sz w:val="28"/>
        </w:rPr>
        <w:t>涉案或涉有違失行為之職員及稀少性科技人員之退休或資遣案處理程序，比照公務人員之程序辦理。</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kern w:val="0"/>
          <w:sz w:val="28"/>
        </w:rPr>
        <w:t>四十九</w:t>
      </w:r>
      <w:r>
        <w:rPr>
          <w:rFonts w:eastAsia="標楷體"/>
          <w:color w:val="000000"/>
          <w:sz w:val="28"/>
        </w:rPr>
        <w:t>條</w:t>
      </w:r>
      <w:r>
        <w:rPr>
          <w:rFonts w:eastAsia="Times New Roman"/>
          <w:color w:val="000000"/>
          <w:sz w:val="28"/>
        </w:rPr>
        <w:t xml:space="preserve">　　</w:t>
      </w:r>
      <w:r>
        <w:rPr>
          <w:rFonts w:ascii="標楷體" w:eastAsia="標楷體" w:hAnsi="標楷體" w:cs="新細明體"/>
          <w:color w:val="000000"/>
          <w:kern w:val="0"/>
          <w:sz w:val="28"/>
        </w:rPr>
        <w:t>（刪除）</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kern w:val="0"/>
          <w:sz w:val="28"/>
        </w:rPr>
        <w:t>九十一</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rPr>
        <w:t>教職員或其遺族經審定給與退休金、資遣給與、遺屬一次金、遺屬年金或撫卹金者，由主管機關製發審定函，送服務學校轉發退休教職員、資遣教職員或遺族，並副知審計機關、</w:t>
      </w:r>
      <w:r>
        <w:rPr>
          <w:rFonts w:eastAsia="標楷體" w:cs="新細明體"/>
          <w:color w:val="000000"/>
          <w:sz w:val="28"/>
          <w:szCs w:val="28"/>
        </w:rPr>
        <w:t>退撫基金管理機關</w:t>
      </w:r>
      <w:r>
        <w:rPr>
          <w:rFonts w:eastAsia="標楷體" w:cs="新細明體"/>
          <w:color w:val="000000"/>
          <w:kern w:val="0"/>
          <w:sz w:val="28"/>
          <w:szCs w:val="28"/>
        </w:rPr>
        <w:t>及服務學校</w:t>
      </w:r>
      <w:r>
        <w:rPr>
          <w:rFonts w:eastAsia="標楷體" w:cs="新細明體"/>
          <w:color w:val="000000"/>
          <w:kern w:val="0"/>
          <w:sz w:val="28"/>
          <w:szCs w:val="28"/>
        </w:rPr>
        <w:t>。</w:t>
      </w:r>
    </w:p>
    <w:p w:rsidR="00C36771" w:rsidRDefault="0058712A">
      <w:pPr>
        <w:pStyle w:val="Standard"/>
        <w:wordWrap/>
        <w:overflowPunct w:val="0"/>
        <w:spacing w:line="460" w:lineRule="exact"/>
        <w:ind w:left="1418" w:right="42" w:firstLine="630"/>
        <w:rPr>
          <w:rFonts w:eastAsia="標楷體"/>
          <w:color w:val="000000"/>
          <w:sz w:val="28"/>
        </w:rPr>
      </w:pPr>
      <w:r>
        <w:rPr>
          <w:rFonts w:eastAsia="標楷體" w:cs="新細明體"/>
          <w:color w:val="000000"/>
          <w:sz w:val="28"/>
        </w:rPr>
        <w:t>前項經審定退休、資遣給與、遺屬一次金、遺屬年金或撫</w:t>
      </w:r>
      <w:proofErr w:type="gramStart"/>
      <w:r>
        <w:rPr>
          <w:rFonts w:eastAsia="標楷體" w:cs="新細明體"/>
          <w:color w:val="000000"/>
          <w:sz w:val="28"/>
        </w:rPr>
        <w:t>卹</w:t>
      </w:r>
      <w:proofErr w:type="gramEnd"/>
      <w:r>
        <w:rPr>
          <w:rFonts w:eastAsia="標楷體" w:cs="新細明體"/>
          <w:color w:val="000000"/>
          <w:sz w:val="28"/>
        </w:rPr>
        <w:t>者，其退撫給與由支給或發放機關依本條例第六十八條規定發放</w:t>
      </w:r>
      <w:r>
        <w:rPr>
          <w:rFonts w:eastAsia="標楷體" w:cs="新細明體"/>
          <w:color w:val="000000"/>
          <w:sz w:val="28"/>
        </w:rPr>
        <w:t>。</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kern w:val="0"/>
          <w:sz w:val="28"/>
        </w:rPr>
        <w:t>九十四</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rPr>
        <w:t>自願退休、</w:t>
      </w:r>
      <w:proofErr w:type="gramStart"/>
      <w:r>
        <w:rPr>
          <w:rFonts w:eastAsia="標楷體" w:cs="新細明體"/>
          <w:color w:val="000000"/>
          <w:kern w:val="0"/>
          <w:sz w:val="28"/>
        </w:rPr>
        <w:t>屆齡退休</w:t>
      </w:r>
      <w:proofErr w:type="gramEnd"/>
      <w:r>
        <w:rPr>
          <w:rFonts w:eastAsia="標楷體" w:cs="新細明體"/>
          <w:color w:val="000000"/>
          <w:kern w:val="0"/>
          <w:sz w:val="28"/>
        </w:rPr>
        <w:t>或命令退休教職員之退休生效日，</w:t>
      </w:r>
      <w:proofErr w:type="gramStart"/>
      <w:r>
        <w:rPr>
          <w:rFonts w:eastAsia="標楷體" w:cs="新細明體"/>
          <w:color w:val="000000"/>
          <w:kern w:val="0"/>
          <w:sz w:val="28"/>
        </w:rPr>
        <w:t>均以主管機關</w:t>
      </w:r>
      <w:proofErr w:type="gramEnd"/>
      <w:r>
        <w:rPr>
          <w:rFonts w:eastAsia="標楷體" w:cs="新細明體"/>
          <w:color w:val="000000"/>
          <w:kern w:val="0"/>
          <w:sz w:val="28"/>
        </w:rPr>
        <w:t>審定之退休生效日為</w:t>
      </w:r>
      <w:proofErr w:type="gramStart"/>
      <w:r>
        <w:rPr>
          <w:rFonts w:eastAsia="標楷體" w:cs="新細明體"/>
          <w:color w:val="000000"/>
          <w:kern w:val="0"/>
          <w:sz w:val="28"/>
        </w:rPr>
        <w:t>準</w:t>
      </w:r>
      <w:proofErr w:type="gramEnd"/>
      <w:r>
        <w:rPr>
          <w:rFonts w:eastAsia="標楷體" w:cs="新細明體"/>
          <w:color w:val="000000"/>
          <w:kern w:val="0"/>
          <w:sz w:val="28"/>
        </w:rPr>
        <w:t>。</w:t>
      </w:r>
    </w:p>
    <w:p w:rsidR="00C36771" w:rsidRDefault="0058712A">
      <w:pPr>
        <w:pStyle w:val="Standard"/>
        <w:tabs>
          <w:tab w:val="left" w:pos="3527"/>
        </w:tabs>
        <w:wordWrap/>
        <w:overflowPunct w:val="0"/>
        <w:spacing w:line="460" w:lineRule="exact"/>
        <w:ind w:left="1400" w:right="42" w:hanging="1400"/>
        <w:rPr>
          <w:color w:val="000000"/>
        </w:rPr>
      </w:pPr>
      <w:r>
        <w:rPr>
          <w:rFonts w:eastAsia="標楷體"/>
          <w:color w:val="000000"/>
          <w:sz w:val="28"/>
        </w:rPr>
        <w:t>第</w:t>
      </w:r>
      <w:r>
        <w:rPr>
          <w:rFonts w:eastAsia="標楷體" w:cs="新細明體"/>
          <w:color w:val="000000"/>
          <w:sz w:val="28"/>
        </w:rPr>
        <w:t>一百</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rPr>
        <w:t>本條例第六十八條所定由各主管機關編列預算支給之給與，包括下列給與</w:t>
      </w:r>
      <w:r>
        <w:rPr>
          <w:rFonts w:eastAsia="標楷體"/>
          <w:color w:val="000000"/>
          <w:sz w:val="28"/>
        </w:rPr>
        <w:t>：</w:t>
      </w:r>
    </w:p>
    <w:p w:rsidR="00C36771" w:rsidRDefault="0058712A">
      <w:pPr>
        <w:pStyle w:val="Standard"/>
        <w:numPr>
          <w:ilvl w:val="0"/>
          <w:numId w:val="20"/>
        </w:numPr>
        <w:wordWrap/>
        <w:overflowPunct w:val="0"/>
        <w:spacing w:line="460" w:lineRule="exact"/>
        <w:ind w:left="1984" w:right="57" w:hanging="567"/>
        <w:rPr>
          <w:rFonts w:eastAsia="標楷體"/>
          <w:color w:val="000000"/>
          <w:sz w:val="28"/>
        </w:rPr>
      </w:pPr>
      <w:r>
        <w:rPr>
          <w:rFonts w:eastAsia="標楷體" w:cs="新細明體"/>
          <w:color w:val="000000"/>
          <w:kern w:val="0"/>
          <w:sz w:val="28"/>
        </w:rPr>
        <w:t>退撫新制實施前審定年資</w:t>
      </w:r>
      <w:proofErr w:type="gramStart"/>
      <w:r>
        <w:rPr>
          <w:rFonts w:eastAsia="標楷體" w:cs="新細明體"/>
          <w:color w:val="000000"/>
          <w:kern w:val="0"/>
          <w:sz w:val="28"/>
        </w:rPr>
        <w:t>應計給之</w:t>
      </w:r>
      <w:proofErr w:type="gramEnd"/>
      <w:r>
        <w:rPr>
          <w:rFonts w:eastAsia="標楷體" w:cs="新細明體"/>
          <w:color w:val="000000"/>
          <w:kern w:val="0"/>
          <w:sz w:val="28"/>
        </w:rPr>
        <w:t>退撫給與</w:t>
      </w:r>
      <w:r>
        <w:rPr>
          <w:rFonts w:eastAsia="標楷體" w:cs="新細明體"/>
          <w:color w:val="000000"/>
          <w:kern w:val="0"/>
          <w:sz w:val="28"/>
        </w:rPr>
        <w:t>。</w:t>
      </w:r>
    </w:p>
    <w:p w:rsidR="00C36771" w:rsidRDefault="0058712A">
      <w:pPr>
        <w:pStyle w:val="Standard"/>
        <w:numPr>
          <w:ilvl w:val="0"/>
          <w:numId w:val="14"/>
        </w:numPr>
        <w:wordWrap/>
        <w:overflowPunct w:val="0"/>
        <w:spacing w:line="460" w:lineRule="exact"/>
        <w:ind w:left="1984" w:right="57" w:hanging="567"/>
        <w:rPr>
          <w:rFonts w:eastAsia="標楷體"/>
          <w:color w:val="000000"/>
          <w:sz w:val="28"/>
        </w:rPr>
      </w:pPr>
      <w:r>
        <w:rPr>
          <w:rFonts w:eastAsia="標楷體" w:cs="新細明體"/>
          <w:color w:val="000000"/>
          <w:kern w:val="0"/>
          <w:sz w:val="28"/>
        </w:rPr>
        <w:lastRenderedPageBreak/>
        <w:t>依法應由各級政府編列預算支付之各項加發退休金及撫卹金</w:t>
      </w:r>
      <w:r>
        <w:rPr>
          <w:rFonts w:eastAsia="標楷體" w:cs="新細明體"/>
          <w:color w:val="000000"/>
          <w:kern w:val="0"/>
          <w:sz w:val="28"/>
        </w:rPr>
        <w:t>。</w:t>
      </w:r>
    </w:p>
    <w:p w:rsidR="00C36771" w:rsidRDefault="0058712A">
      <w:pPr>
        <w:pStyle w:val="Standard"/>
        <w:numPr>
          <w:ilvl w:val="0"/>
          <w:numId w:val="14"/>
        </w:numPr>
        <w:wordWrap/>
        <w:overflowPunct w:val="0"/>
        <w:spacing w:line="460" w:lineRule="exact"/>
        <w:ind w:left="1984" w:right="57" w:hanging="567"/>
        <w:rPr>
          <w:rFonts w:eastAsia="標楷體"/>
          <w:color w:val="000000"/>
          <w:sz w:val="28"/>
        </w:rPr>
      </w:pPr>
      <w:r>
        <w:rPr>
          <w:rFonts w:eastAsia="標楷體" w:cs="新細明體"/>
          <w:color w:val="000000"/>
          <w:kern w:val="0"/>
          <w:sz w:val="28"/>
        </w:rPr>
        <w:t>依法應由各級政府編列預算支付之</w:t>
      </w:r>
      <w:proofErr w:type="gramStart"/>
      <w:r>
        <w:rPr>
          <w:rFonts w:eastAsia="標楷體" w:cs="新細明體"/>
          <w:color w:val="000000"/>
          <w:kern w:val="0"/>
          <w:sz w:val="28"/>
        </w:rPr>
        <w:t>殮</w:t>
      </w:r>
      <w:proofErr w:type="gramEnd"/>
      <w:r>
        <w:rPr>
          <w:rFonts w:eastAsia="標楷體" w:cs="新細明體"/>
          <w:color w:val="000000"/>
          <w:kern w:val="0"/>
          <w:sz w:val="28"/>
        </w:rPr>
        <w:t>葬</w:t>
      </w:r>
      <w:proofErr w:type="gramStart"/>
      <w:r>
        <w:rPr>
          <w:rFonts w:eastAsia="標楷體" w:cs="新細明體"/>
          <w:color w:val="000000"/>
          <w:kern w:val="0"/>
          <w:sz w:val="28"/>
        </w:rPr>
        <w:t>補助費與勳績</w:t>
      </w:r>
      <w:proofErr w:type="gramEnd"/>
      <w:r>
        <w:rPr>
          <w:rFonts w:eastAsia="標楷體" w:cs="新細明體"/>
          <w:color w:val="000000"/>
          <w:kern w:val="0"/>
          <w:sz w:val="28"/>
        </w:rPr>
        <w:t>撫卹金</w:t>
      </w:r>
      <w:r>
        <w:rPr>
          <w:rFonts w:eastAsia="標楷體" w:cs="新細明體"/>
          <w:color w:val="000000"/>
          <w:kern w:val="0"/>
          <w:sz w:val="28"/>
        </w:rPr>
        <w:t>。</w:t>
      </w:r>
    </w:p>
    <w:p w:rsidR="00C36771" w:rsidRDefault="0058712A">
      <w:pPr>
        <w:pStyle w:val="Standard"/>
        <w:numPr>
          <w:ilvl w:val="0"/>
          <w:numId w:val="14"/>
        </w:numPr>
        <w:wordWrap/>
        <w:overflowPunct w:val="0"/>
        <w:spacing w:line="460" w:lineRule="exact"/>
        <w:ind w:left="1984" w:right="57" w:hanging="567"/>
        <w:rPr>
          <w:rFonts w:eastAsia="標楷體" w:cs="新細明體"/>
          <w:color w:val="000000"/>
          <w:kern w:val="0"/>
          <w:sz w:val="28"/>
        </w:rPr>
      </w:pPr>
      <w:r>
        <w:rPr>
          <w:rFonts w:eastAsia="標楷體" w:cs="新細明體"/>
          <w:color w:val="000000"/>
          <w:kern w:val="0"/>
          <w:sz w:val="28"/>
        </w:rPr>
        <w:t>原學校教職員退休條例第二十一條之一第五項之補償金，及本條例第三十四條之一次補償金餘額。</w:t>
      </w:r>
    </w:p>
    <w:p w:rsidR="00C36771" w:rsidRDefault="0058712A">
      <w:pPr>
        <w:pStyle w:val="Standard"/>
        <w:tabs>
          <w:tab w:val="left" w:pos="3527"/>
        </w:tabs>
        <w:wordWrap/>
        <w:overflowPunct w:val="0"/>
        <w:spacing w:line="460" w:lineRule="exact"/>
        <w:ind w:left="1400" w:right="42" w:hanging="1400"/>
        <w:rPr>
          <w:color w:val="000000"/>
        </w:rPr>
      </w:pPr>
      <w:r>
        <w:rPr>
          <w:color w:val="000000"/>
        </w:rPr>
        <w:t xml:space="preserve">          </w:t>
      </w:r>
      <w:r>
        <w:rPr>
          <w:rFonts w:eastAsia="標楷體" w:cs="新細明體"/>
          <w:color w:val="000000"/>
          <w:kern w:val="0"/>
          <w:sz w:val="28"/>
        </w:rPr>
        <w:t>前項所定由各主管機關編列預算支給之給與，依下列規定認定支給機關：</w:t>
      </w:r>
    </w:p>
    <w:p w:rsidR="00C36771" w:rsidRDefault="0058712A">
      <w:pPr>
        <w:pStyle w:val="Standard"/>
        <w:numPr>
          <w:ilvl w:val="0"/>
          <w:numId w:val="21"/>
        </w:numPr>
        <w:wordWrap/>
        <w:overflowPunct w:val="0"/>
        <w:spacing w:line="460" w:lineRule="exact"/>
        <w:ind w:left="2041" w:right="57" w:hanging="567"/>
        <w:rPr>
          <w:rFonts w:eastAsia="標楷體" w:cs="新細明體"/>
          <w:color w:val="000000"/>
          <w:kern w:val="0"/>
          <w:sz w:val="28"/>
        </w:rPr>
      </w:pPr>
      <w:r>
        <w:rPr>
          <w:rFonts w:eastAsia="標楷體" w:cs="新細明體"/>
          <w:color w:val="000000"/>
          <w:kern w:val="0"/>
          <w:sz w:val="28"/>
        </w:rPr>
        <w:t>最後服務學校屬於國立者，由國庫支出，並以教育部為支給機關。</w:t>
      </w:r>
    </w:p>
    <w:p w:rsidR="00C36771" w:rsidRDefault="0058712A">
      <w:pPr>
        <w:pStyle w:val="Standard"/>
        <w:numPr>
          <w:ilvl w:val="0"/>
          <w:numId w:val="14"/>
        </w:numPr>
        <w:wordWrap/>
        <w:overflowPunct w:val="0"/>
        <w:spacing w:line="460" w:lineRule="exact"/>
        <w:ind w:left="2041" w:right="57" w:hanging="567"/>
        <w:rPr>
          <w:rFonts w:eastAsia="標楷體" w:cs="新細明體"/>
          <w:color w:val="000000"/>
          <w:kern w:val="0"/>
          <w:sz w:val="28"/>
        </w:rPr>
      </w:pPr>
      <w:r>
        <w:rPr>
          <w:rFonts w:eastAsia="標楷體" w:cs="新細明體"/>
          <w:color w:val="000000"/>
          <w:kern w:val="0"/>
          <w:sz w:val="28"/>
        </w:rPr>
        <w:t>最後服務學校屬於直轄市立者，由直轄市庫支出，並以直轄市政府為支給機關。</w:t>
      </w:r>
    </w:p>
    <w:p w:rsidR="00C36771" w:rsidRDefault="0058712A">
      <w:pPr>
        <w:pStyle w:val="Standard"/>
        <w:numPr>
          <w:ilvl w:val="0"/>
          <w:numId w:val="14"/>
        </w:numPr>
        <w:wordWrap/>
        <w:overflowPunct w:val="0"/>
        <w:spacing w:line="460" w:lineRule="exact"/>
        <w:ind w:left="2041" w:right="57" w:hanging="567"/>
        <w:rPr>
          <w:rFonts w:eastAsia="標楷體" w:cs="新細明體"/>
          <w:color w:val="000000"/>
          <w:kern w:val="0"/>
          <w:sz w:val="28"/>
        </w:rPr>
      </w:pPr>
      <w:r>
        <w:rPr>
          <w:rFonts w:eastAsia="標楷體" w:cs="新細明體"/>
          <w:color w:val="000000"/>
          <w:kern w:val="0"/>
          <w:sz w:val="28"/>
        </w:rPr>
        <w:t>最後服務學校屬於縣（市）</w:t>
      </w:r>
      <w:proofErr w:type="gramStart"/>
      <w:r>
        <w:rPr>
          <w:rFonts w:eastAsia="標楷體" w:cs="新細明體"/>
          <w:color w:val="000000"/>
          <w:kern w:val="0"/>
          <w:sz w:val="28"/>
        </w:rPr>
        <w:t>立者</w:t>
      </w:r>
      <w:proofErr w:type="gramEnd"/>
      <w:r>
        <w:rPr>
          <w:rFonts w:eastAsia="標楷體" w:cs="新細明體"/>
          <w:color w:val="000000"/>
          <w:kern w:val="0"/>
          <w:sz w:val="28"/>
        </w:rPr>
        <w:t>，由縣（市）庫支出，並以縣（市）政府為支給機關。</w:t>
      </w:r>
    </w:p>
    <w:p w:rsidR="00C36771" w:rsidRDefault="0058712A">
      <w:pPr>
        <w:pStyle w:val="Standard"/>
        <w:wordWrap/>
        <w:overflowPunct w:val="0"/>
        <w:spacing w:line="460" w:lineRule="exact"/>
        <w:ind w:left="1418" w:right="42" w:firstLine="630"/>
        <w:rPr>
          <w:rFonts w:eastAsia="標楷體"/>
          <w:color w:val="000000"/>
          <w:sz w:val="28"/>
        </w:rPr>
      </w:pPr>
      <w:r>
        <w:rPr>
          <w:rFonts w:eastAsia="標楷體" w:cs="新細明體"/>
          <w:color w:val="000000"/>
          <w:kern w:val="0"/>
          <w:sz w:val="28"/>
        </w:rPr>
        <w:t>退撫新制實施後任職年資</w:t>
      </w:r>
      <w:proofErr w:type="gramStart"/>
      <w:r>
        <w:rPr>
          <w:rFonts w:eastAsia="標楷體" w:cs="新細明體"/>
          <w:color w:val="000000"/>
          <w:kern w:val="0"/>
          <w:sz w:val="28"/>
        </w:rPr>
        <w:t>應計給之</w:t>
      </w:r>
      <w:proofErr w:type="gramEnd"/>
      <w:r>
        <w:rPr>
          <w:rFonts w:eastAsia="標楷體" w:cs="新細明體"/>
          <w:color w:val="000000"/>
          <w:kern w:val="0"/>
          <w:sz w:val="28"/>
        </w:rPr>
        <w:t>退撫給與及原學校教職員退休條例第二十一條之一第六項之補償金，由退撫基金支付並以</w:t>
      </w:r>
      <w:r>
        <w:rPr>
          <w:rFonts w:eastAsia="標楷體" w:cs="新細明體"/>
          <w:color w:val="000000"/>
          <w:sz w:val="28"/>
        </w:rPr>
        <w:t>退撫基金管理機關</w:t>
      </w:r>
      <w:r>
        <w:rPr>
          <w:rFonts w:eastAsia="標楷體" w:cs="新細明體"/>
          <w:color w:val="000000"/>
          <w:kern w:val="0"/>
          <w:sz w:val="28"/>
        </w:rPr>
        <w:t>為支給機關</w:t>
      </w:r>
      <w:r>
        <w:rPr>
          <w:rFonts w:eastAsia="標楷體" w:cs="新細明體"/>
          <w:color w:val="000000"/>
          <w:kern w:val="0"/>
          <w:sz w:val="28"/>
        </w:rPr>
        <w:t>。</w:t>
      </w:r>
    </w:p>
    <w:p w:rsidR="00C36771" w:rsidRDefault="0058712A">
      <w:pPr>
        <w:pStyle w:val="Standard"/>
        <w:wordWrap/>
        <w:overflowPunct w:val="0"/>
        <w:spacing w:line="460" w:lineRule="exact"/>
        <w:ind w:left="1680" w:right="42" w:hanging="1680"/>
        <w:rPr>
          <w:color w:val="000000"/>
        </w:rPr>
      </w:pPr>
      <w:r>
        <w:rPr>
          <w:rFonts w:eastAsia="標楷體" w:cs="新細明體"/>
          <w:color w:val="000000"/>
          <w:kern w:val="0"/>
          <w:sz w:val="28"/>
        </w:rPr>
        <w:t>第</w:t>
      </w:r>
      <w:r>
        <w:rPr>
          <w:rFonts w:eastAsia="標楷體" w:cs="新細明體"/>
          <w:color w:val="000000"/>
          <w:kern w:val="0"/>
          <w:sz w:val="28"/>
          <w:szCs w:val="28"/>
        </w:rPr>
        <w:t>一百零一</w:t>
      </w:r>
      <w:r>
        <w:rPr>
          <w:rFonts w:eastAsia="標楷體" w:cs="新細明體"/>
          <w:color w:val="000000"/>
          <w:kern w:val="0"/>
          <w:sz w:val="28"/>
        </w:rPr>
        <w:t>條</w:t>
      </w:r>
      <w:r>
        <w:rPr>
          <w:rFonts w:eastAsia="Times New Roman" w:cs="新細明體"/>
          <w:color w:val="000000"/>
          <w:kern w:val="0"/>
          <w:sz w:val="28"/>
        </w:rPr>
        <w:t xml:space="preserve">　　</w:t>
      </w:r>
      <w:r>
        <w:rPr>
          <w:rFonts w:eastAsia="標楷體" w:cs="新細明體"/>
          <w:color w:val="000000"/>
          <w:kern w:val="0"/>
          <w:sz w:val="28"/>
        </w:rPr>
        <w:t>本條例所定退撫給與、</w:t>
      </w:r>
      <w:proofErr w:type="gramStart"/>
      <w:r>
        <w:rPr>
          <w:rFonts w:eastAsia="標楷體" w:cs="新細明體"/>
          <w:color w:val="000000"/>
          <w:kern w:val="0"/>
          <w:sz w:val="28"/>
        </w:rPr>
        <w:t>殮</w:t>
      </w:r>
      <w:proofErr w:type="gramEnd"/>
      <w:r>
        <w:rPr>
          <w:rFonts w:eastAsia="標楷體" w:cs="新細明體"/>
          <w:color w:val="000000"/>
          <w:kern w:val="0"/>
          <w:sz w:val="28"/>
        </w:rPr>
        <w:t>葬</w:t>
      </w:r>
      <w:proofErr w:type="gramStart"/>
      <w:r>
        <w:rPr>
          <w:rFonts w:eastAsia="標楷體" w:cs="新細明體"/>
          <w:color w:val="000000"/>
          <w:kern w:val="0"/>
          <w:sz w:val="28"/>
        </w:rPr>
        <w:t>補助費及勳績</w:t>
      </w:r>
      <w:proofErr w:type="gramEnd"/>
      <w:r>
        <w:rPr>
          <w:rFonts w:eastAsia="標楷體" w:cs="新細明體"/>
          <w:color w:val="000000"/>
          <w:kern w:val="0"/>
          <w:sz w:val="28"/>
        </w:rPr>
        <w:t>撫卹金之核銷程序，</w:t>
      </w:r>
      <w:r>
        <w:rPr>
          <w:rFonts w:eastAsia="標楷體" w:cs="新細明體"/>
          <w:color w:val="000000"/>
          <w:kern w:val="0"/>
          <w:sz w:val="28"/>
          <w:szCs w:val="28"/>
        </w:rPr>
        <w:t>應依會計法及會計制度辦理</w:t>
      </w:r>
      <w:r>
        <w:rPr>
          <w:rFonts w:eastAsia="標楷體"/>
          <w:color w:val="000000"/>
          <w:sz w:val="28"/>
        </w:rPr>
        <w:t>。</w:t>
      </w:r>
    </w:p>
    <w:p w:rsidR="00C36771" w:rsidRDefault="0058712A">
      <w:pPr>
        <w:pStyle w:val="Standard"/>
        <w:wordWrap/>
        <w:overflowPunct w:val="0"/>
        <w:spacing w:line="460" w:lineRule="exact"/>
        <w:ind w:left="1680" w:right="42" w:hanging="1680"/>
        <w:rPr>
          <w:color w:val="000000"/>
        </w:rPr>
      </w:pPr>
      <w:r>
        <w:rPr>
          <w:rFonts w:eastAsia="標楷體"/>
          <w:color w:val="000000"/>
          <w:sz w:val="28"/>
        </w:rPr>
        <w:t>第</w:t>
      </w:r>
      <w:r>
        <w:rPr>
          <w:rFonts w:eastAsia="標楷體" w:cs="新細明體"/>
          <w:color w:val="000000"/>
          <w:sz w:val="28"/>
        </w:rPr>
        <w:t>一百零二</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szCs w:val="28"/>
        </w:rPr>
        <w:t>本條例第四十條第一項所定各級政府每年節省之退撫經費支出應全數</w:t>
      </w:r>
      <w:proofErr w:type="gramStart"/>
      <w:r>
        <w:rPr>
          <w:rFonts w:eastAsia="標楷體" w:cs="新細明體"/>
          <w:color w:val="000000"/>
          <w:kern w:val="0"/>
          <w:sz w:val="28"/>
          <w:szCs w:val="28"/>
        </w:rPr>
        <w:t>挹</w:t>
      </w:r>
      <w:proofErr w:type="gramEnd"/>
      <w:r>
        <w:rPr>
          <w:rFonts w:eastAsia="標楷體" w:cs="新細明體"/>
          <w:color w:val="000000"/>
          <w:kern w:val="0"/>
          <w:sz w:val="28"/>
          <w:szCs w:val="28"/>
        </w:rPr>
        <w:t>注退撫基金，依下列規定辦理</w:t>
      </w:r>
      <w:r>
        <w:rPr>
          <w:rFonts w:ascii="標楷體" w:eastAsia="標楷體" w:hAnsi="標楷體" w:cs="新細明體, PMingLiU"/>
          <w:color w:val="000000"/>
          <w:sz w:val="28"/>
          <w:szCs w:val="28"/>
        </w:rPr>
        <w:t>：</w:t>
      </w:r>
    </w:p>
    <w:p w:rsidR="00C36771" w:rsidRDefault="0058712A">
      <w:pPr>
        <w:pStyle w:val="affffffe"/>
        <w:numPr>
          <w:ilvl w:val="0"/>
          <w:numId w:val="22"/>
        </w:numPr>
        <w:tabs>
          <w:tab w:val="left" w:pos="4481"/>
        </w:tabs>
        <w:overflowPunct w:val="0"/>
        <w:spacing w:line="460" w:lineRule="exact"/>
        <w:ind w:left="2268" w:hanging="567"/>
        <w:jc w:val="both"/>
        <w:rPr>
          <w:color w:val="000000"/>
        </w:rPr>
      </w:pPr>
      <w:r>
        <w:rPr>
          <w:rFonts w:ascii="Times New Roman" w:eastAsia="標楷體" w:hAnsi="Times New Roman" w:cs="新細明體"/>
          <w:color w:val="000000"/>
          <w:kern w:val="0"/>
          <w:sz w:val="28"/>
          <w:szCs w:val="28"/>
        </w:rPr>
        <w:t>各級政府應於每年一月三十一日以前，將所屬退休教職員前一年度依本條例第三十六條至第三十九條規定計算後減少支付之下列金額及明細，彙送教育部審核</w:t>
      </w:r>
      <w:r>
        <w:rPr>
          <w:rFonts w:ascii="標楷體" w:eastAsia="標楷體" w:hAnsi="標楷體" w:cs="新細明體, PMingLiU"/>
          <w:color w:val="000000"/>
          <w:sz w:val="28"/>
          <w:szCs w:val="28"/>
        </w:rPr>
        <w:t>：</w:t>
      </w:r>
    </w:p>
    <w:p w:rsidR="00C36771" w:rsidRDefault="0058712A">
      <w:pPr>
        <w:pStyle w:val="Standard"/>
        <w:widowControl/>
        <w:numPr>
          <w:ilvl w:val="0"/>
          <w:numId w:val="23"/>
        </w:numPr>
        <w:wordWrap/>
        <w:overflowPunct w:val="0"/>
        <w:spacing w:line="460" w:lineRule="exact"/>
        <w:ind w:left="3005" w:hanging="850"/>
        <w:textAlignment w:val="auto"/>
        <w:rPr>
          <w:rFonts w:ascii="標楷體" w:eastAsia="標楷體" w:hAnsi="標楷體" w:cs="新細明體, PMingLiU"/>
          <w:color w:val="000000"/>
          <w:sz w:val="28"/>
          <w:szCs w:val="28"/>
        </w:rPr>
      </w:pPr>
      <w:r>
        <w:rPr>
          <w:rFonts w:eastAsia="標楷體" w:cs="新細明體"/>
          <w:color w:val="000000"/>
          <w:kern w:val="0"/>
          <w:sz w:val="28"/>
          <w:szCs w:val="28"/>
        </w:rPr>
        <w:t>優惠存款利息</w:t>
      </w:r>
      <w:r>
        <w:rPr>
          <w:rFonts w:eastAsia="標楷體" w:cs="新細明體"/>
          <w:color w:val="000000"/>
          <w:kern w:val="0"/>
          <w:sz w:val="28"/>
          <w:szCs w:val="28"/>
        </w:rPr>
        <w:t>。</w:t>
      </w:r>
    </w:p>
    <w:p w:rsidR="00C36771" w:rsidRDefault="0058712A">
      <w:pPr>
        <w:pStyle w:val="Standard"/>
        <w:widowControl/>
        <w:numPr>
          <w:ilvl w:val="0"/>
          <w:numId w:val="18"/>
        </w:numPr>
        <w:wordWrap/>
        <w:overflowPunct w:val="0"/>
        <w:spacing w:line="460" w:lineRule="exact"/>
        <w:ind w:left="3005" w:hanging="850"/>
        <w:textAlignment w:val="auto"/>
        <w:rPr>
          <w:rFonts w:ascii="標楷體" w:eastAsia="標楷體" w:hAnsi="標楷體" w:cs="新細明體, PMingLiU"/>
          <w:color w:val="000000"/>
          <w:sz w:val="28"/>
          <w:szCs w:val="28"/>
        </w:rPr>
      </w:pPr>
      <w:r>
        <w:rPr>
          <w:rFonts w:eastAsia="標楷體" w:cs="新細明體"/>
          <w:color w:val="000000"/>
          <w:kern w:val="0"/>
          <w:sz w:val="28"/>
          <w:szCs w:val="28"/>
        </w:rPr>
        <w:t>退撫新制實施前年資</w:t>
      </w:r>
      <w:proofErr w:type="gramStart"/>
      <w:r>
        <w:rPr>
          <w:rFonts w:eastAsia="標楷體" w:cs="新細明體"/>
          <w:color w:val="000000"/>
          <w:kern w:val="0"/>
          <w:sz w:val="28"/>
          <w:szCs w:val="28"/>
        </w:rPr>
        <w:t>所計發之</w:t>
      </w:r>
      <w:proofErr w:type="gramEnd"/>
      <w:r>
        <w:rPr>
          <w:rFonts w:eastAsia="標楷體" w:cs="新細明體"/>
          <w:color w:val="000000"/>
          <w:kern w:val="0"/>
          <w:sz w:val="28"/>
          <w:szCs w:val="28"/>
        </w:rPr>
        <w:t>月退休金（包括月補償金）</w:t>
      </w:r>
      <w:r>
        <w:rPr>
          <w:rFonts w:eastAsia="標楷體" w:cs="新細明體"/>
          <w:color w:val="000000"/>
          <w:kern w:val="0"/>
          <w:sz w:val="28"/>
          <w:szCs w:val="28"/>
        </w:rPr>
        <w:t>。</w:t>
      </w:r>
    </w:p>
    <w:p w:rsidR="00C36771" w:rsidRDefault="0058712A">
      <w:pPr>
        <w:pStyle w:val="affffffe"/>
        <w:numPr>
          <w:ilvl w:val="0"/>
          <w:numId w:val="24"/>
        </w:numPr>
        <w:overflowPunct w:val="0"/>
        <w:spacing w:line="460" w:lineRule="exact"/>
        <w:ind w:left="2324" w:hanging="567"/>
        <w:jc w:val="both"/>
        <w:rPr>
          <w:rFonts w:ascii="標楷體" w:eastAsia="標楷體" w:hAnsi="標楷體" w:cs="新細明體, PMingLiU"/>
          <w:color w:val="000000"/>
          <w:sz w:val="28"/>
          <w:szCs w:val="28"/>
        </w:rPr>
      </w:pPr>
      <w:r>
        <w:rPr>
          <w:rFonts w:ascii="Times New Roman" w:eastAsia="標楷體" w:hAnsi="Times New Roman" w:cs="新細明體"/>
          <w:color w:val="000000"/>
          <w:kern w:val="0"/>
          <w:sz w:val="28"/>
          <w:szCs w:val="28"/>
        </w:rPr>
        <w:t>教育部就各級政府依前款規定所送之總金額彙整後，報請行政院會同考試院，於每年三月一日前確定應</w:t>
      </w:r>
      <w:proofErr w:type="gramStart"/>
      <w:r>
        <w:rPr>
          <w:rFonts w:ascii="Times New Roman" w:eastAsia="標楷體" w:hAnsi="Times New Roman" w:cs="新細明體"/>
          <w:color w:val="000000"/>
          <w:kern w:val="0"/>
          <w:sz w:val="28"/>
          <w:szCs w:val="28"/>
        </w:rPr>
        <w:t>挹</w:t>
      </w:r>
      <w:proofErr w:type="gramEnd"/>
      <w:r>
        <w:rPr>
          <w:rFonts w:ascii="Times New Roman" w:eastAsia="標楷體" w:hAnsi="Times New Roman" w:cs="新細明體"/>
          <w:color w:val="000000"/>
          <w:kern w:val="0"/>
          <w:sz w:val="28"/>
          <w:szCs w:val="28"/>
        </w:rPr>
        <w:lastRenderedPageBreak/>
        <w:t>注退撫基金之金額，再由</w:t>
      </w:r>
      <w:r>
        <w:rPr>
          <w:rFonts w:ascii="Times New Roman" w:eastAsia="標楷體" w:hAnsi="Times New Roman" w:cs="新細明體"/>
          <w:color w:val="000000"/>
          <w:sz w:val="28"/>
          <w:szCs w:val="28"/>
        </w:rPr>
        <w:t>退撫基金管理機關</w:t>
      </w:r>
      <w:r>
        <w:rPr>
          <w:rFonts w:ascii="Times New Roman" w:eastAsia="標楷體" w:hAnsi="Times New Roman" w:cs="新細明體"/>
          <w:color w:val="000000"/>
          <w:kern w:val="0"/>
          <w:sz w:val="28"/>
          <w:szCs w:val="28"/>
        </w:rPr>
        <w:t>編列為下一年度歲入預算</w:t>
      </w:r>
      <w:r>
        <w:rPr>
          <w:rFonts w:ascii="Times New Roman" w:eastAsia="標楷體" w:hAnsi="Times New Roman" w:cs="新細明體"/>
          <w:color w:val="000000"/>
          <w:kern w:val="0"/>
          <w:sz w:val="28"/>
          <w:szCs w:val="28"/>
        </w:rPr>
        <w:t>。</w:t>
      </w:r>
    </w:p>
    <w:p w:rsidR="00C36771" w:rsidRDefault="0058712A">
      <w:pPr>
        <w:pStyle w:val="affffffe"/>
        <w:numPr>
          <w:ilvl w:val="0"/>
          <w:numId w:val="17"/>
        </w:numPr>
        <w:overflowPunct w:val="0"/>
        <w:spacing w:line="460" w:lineRule="exact"/>
        <w:ind w:left="2324" w:hanging="567"/>
        <w:jc w:val="both"/>
        <w:rPr>
          <w:rFonts w:ascii="標楷體" w:eastAsia="標楷體" w:hAnsi="標楷體" w:cs="新細明體, PMingLiU"/>
          <w:color w:val="000000"/>
          <w:sz w:val="28"/>
          <w:szCs w:val="28"/>
        </w:rPr>
      </w:pPr>
      <w:r>
        <w:rPr>
          <w:rFonts w:ascii="Times New Roman" w:eastAsia="標楷體" w:hAnsi="Times New Roman" w:cs="新細明體"/>
          <w:color w:val="000000"/>
          <w:kern w:val="0"/>
          <w:sz w:val="28"/>
          <w:szCs w:val="28"/>
        </w:rPr>
        <w:t>各級政府於前款應</w:t>
      </w:r>
      <w:proofErr w:type="gramStart"/>
      <w:r>
        <w:rPr>
          <w:rFonts w:ascii="Times New Roman" w:eastAsia="標楷體" w:hAnsi="Times New Roman" w:cs="新細明體"/>
          <w:color w:val="000000"/>
          <w:kern w:val="0"/>
          <w:sz w:val="28"/>
          <w:szCs w:val="28"/>
        </w:rPr>
        <w:t>挹</w:t>
      </w:r>
      <w:proofErr w:type="gramEnd"/>
      <w:r>
        <w:rPr>
          <w:rFonts w:ascii="Times New Roman" w:eastAsia="標楷體" w:hAnsi="Times New Roman" w:cs="新細明體"/>
          <w:color w:val="000000"/>
          <w:kern w:val="0"/>
          <w:sz w:val="28"/>
          <w:szCs w:val="28"/>
        </w:rPr>
        <w:t>注退撫基金之金額確定後，應報請第一百條第二</w:t>
      </w:r>
      <w:proofErr w:type="gramStart"/>
      <w:r>
        <w:rPr>
          <w:rFonts w:ascii="Times New Roman" w:eastAsia="標楷體" w:hAnsi="Times New Roman" w:cs="新細明體"/>
          <w:color w:val="000000"/>
          <w:kern w:val="0"/>
          <w:sz w:val="28"/>
          <w:szCs w:val="28"/>
        </w:rPr>
        <w:t>項所定支給</w:t>
      </w:r>
      <w:proofErr w:type="gramEnd"/>
      <w:r>
        <w:rPr>
          <w:rFonts w:ascii="Times New Roman" w:eastAsia="標楷體" w:hAnsi="Times New Roman" w:cs="新細明體"/>
          <w:color w:val="000000"/>
          <w:kern w:val="0"/>
          <w:sz w:val="28"/>
          <w:szCs w:val="28"/>
        </w:rPr>
        <w:t>機關，依預算法令編列為下一年度歲出預算</w:t>
      </w:r>
      <w:r>
        <w:rPr>
          <w:rFonts w:ascii="Times New Roman" w:eastAsia="標楷體" w:hAnsi="Times New Roman" w:cs="新細明體"/>
          <w:color w:val="000000"/>
          <w:kern w:val="0"/>
          <w:sz w:val="28"/>
          <w:szCs w:val="28"/>
        </w:rPr>
        <w:t>。</w:t>
      </w:r>
    </w:p>
    <w:p w:rsidR="00C36771" w:rsidRDefault="0058712A">
      <w:pPr>
        <w:pStyle w:val="Standard"/>
        <w:wordWrap/>
        <w:overflowPunct w:val="0"/>
        <w:spacing w:line="460" w:lineRule="exact"/>
        <w:ind w:left="1680" w:right="42" w:hanging="168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 xml:space="preserve">    </w:t>
      </w:r>
      <w:r>
        <w:rPr>
          <w:rFonts w:eastAsia="標楷體" w:cs="新細明體"/>
          <w:color w:val="000000"/>
          <w:kern w:val="0"/>
          <w:sz w:val="28"/>
          <w:szCs w:val="28"/>
        </w:rPr>
        <w:t>各級地方政府依前項第三款規定編列之下</w:t>
      </w:r>
      <w:proofErr w:type="gramStart"/>
      <w:r>
        <w:rPr>
          <w:rFonts w:eastAsia="標楷體" w:cs="新細明體"/>
          <w:color w:val="000000"/>
          <w:kern w:val="0"/>
          <w:sz w:val="28"/>
          <w:szCs w:val="28"/>
        </w:rPr>
        <w:t>一</w:t>
      </w:r>
      <w:proofErr w:type="gramEnd"/>
      <w:r>
        <w:rPr>
          <w:rFonts w:eastAsia="標楷體" w:cs="新細明體"/>
          <w:color w:val="000000"/>
          <w:kern w:val="0"/>
          <w:sz w:val="28"/>
          <w:szCs w:val="28"/>
        </w:rPr>
        <w:t>年度歲出預算中，直轄市及縣（市）政府應</w:t>
      </w:r>
      <w:proofErr w:type="gramStart"/>
      <w:r>
        <w:rPr>
          <w:rFonts w:eastAsia="標楷體" w:cs="新細明體"/>
          <w:color w:val="000000"/>
          <w:kern w:val="0"/>
          <w:sz w:val="28"/>
          <w:szCs w:val="28"/>
        </w:rPr>
        <w:t>挹</w:t>
      </w:r>
      <w:proofErr w:type="gramEnd"/>
      <w:r>
        <w:rPr>
          <w:rFonts w:eastAsia="標楷體" w:cs="新細明體"/>
          <w:color w:val="000000"/>
          <w:kern w:val="0"/>
          <w:sz w:val="28"/>
          <w:szCs w:val="28"/>
        </w:rPr>
        <w:t>注部分，由財政部及中央主計機關分別以中央統籌分配稅款、一般性及專案補助款代為撥付退撫基金。</w:t>
      </w:r>
    </w:p>
    <w:p w:rsidR="00C36771" w:rsidRDefault="0058712A">
      <w:pPr>
        <w:pStyle w:val="Standard"/>
        <w:wordWrap/>
        <w:overflowPunct w:val="0"/>
        <w:spacing w:line="460" w:lineRule="exact"/>
        <w:ind w:left="1680" w:right="42" w:hanging="1680"/>
        <w:textAlignment w:val="auto"/>
        <w:rPr>
          <w:rFonts w:eastAsia="標楷體" w:cs="新細明體"/>
          <w:color w:val="000000"/>
          <w:kern w:val="0"/>
          <w:sz w:val="28"/>
          <w:szCs w:val="28"/>
        </w:rPr>
      </w:pPr>
      <w:r>
        <w:rPr>
          <w:rFonts w:eastAsia="標楷體" w:cs="新細明體"/>
          <w:color w:val="000000"/>
          <w:kern w:val="0"/>
          <w:sz w:val="28"/>
          <w:szCs w:val="28"/>
        </w:rPr>
        <w:t xml:space="preserve">    </w:t>
      </w:r>
      <w:r>
        <w:rPr>
          <w:rFonts w:eastAsia="標楷體" w:cs="新細明體"/>
          <w:color w:val="000000"/>
          <w:kern w:val="0"/>
          <w:sz w:val="28"/>
          <w:szCs w:val="28"/>
        </w:rPr>
        <w:t>前項所定以中央統籌分配稅款、一般性及專案補助款代為撥付退撫</w:t>
      </w:r>
      <w:r>
        <w:rPr>
          <w:rFonts w:eastAsia="標楷體" w:cs="新細明體"/>
          <w:color w:val="000000"/>
          <w:kern w:val="0"/>
          <w:sz w:val="28"/>
          <w:szCs w:val="28"/>
        </w:rPr>
        <w:t>基金之撥付期程及金額，由教育部通知財政部及中央主計機關配合辦理。</w:t>
      </w:r>
    </w:p>
    <w:p w:rsidR="00C36771" w:rsidRDefault="0058712A">
      <w:pPr>
        <w:pStyle w:val="Standard"/>
        <w:wordWrap/>
        <w:overflowPunct w:val="0"/>
        <w:spacing w:line="460" w:lineRule="exact"/>
        <w:ind w:left="1680" w:right="42" w:hanging="1680"/>
        <w:textAlignment w:val="auto"/>
        <w:rPr>
          <w:rFonts w:ascii="標楷體" w:eastAsia="標楷體" w:hAnsi="標楷體" w:cs="新細明體, PMingLiU"/>
          <w:color w:val="000000"/>
          <w:sz w:val="28"/>
          <w:szCs w:val="28"/>
        </w:rPr>
      </w:pPr>
      <w:r>
        <w:rPr>
          <w:rFonts w:eastAsia="標楷體" w:cs="新細明體"/>
          <w:color w:val="000000"/>
          <w:kern w:val="0"/>
          <w:sz w:val="28"/>
          <w:szCs w:val="28"/>
        </w:rPr>
        <w:t xml:space="preserve">    </w:t>
      </w:r>
      <w:r>
        <w:rPr>
          <w:rFonts w:eastAsia="標楷體" w:cs="新細明體"/>
          <w:color w:val="000000"/>
          <w:kern w:val="0"/>
          <w:sz w:val="28"/>
          <w:szCs w:val="28"/>
        </w:rPr>
        <w:t>依本條例第四十條第三項規定定期上網公告之</w:t>
      </w:r>
      <w:proofErr w:type="gramStart"/>
      <w:r>
        <w:rPr>
          <w:rFonts w:eastAsia="標楷體" w:cs="新細明體"/>
          <w:color w:val="000000"/>
          <w:kern w:val="0"/>
          <w:sz w:val="28"/>
          <w:szCs w:val="28"/>
        </w:rPr>
        <w:t>挹</w:t>
      </w:r>
      <w:proofErr w:type="gramEnd"/>
      <w:r>
        <w:rPr>
          <w:rFonts w:eastAsia="標楷體" w:cs="新細明體, PMingLiU"/>
          <w:color w:val="000000"/>
          <w:sz w:val="28"/>
          <w:szCs w:val="28"/>
        </w:rPr>
        <w:t>注金額及明細，應於行政院會同考試院確認後，揭露於教育部網站</w:t>
      </w:r>
      <w:r>
        <w:rPr>
          <w:rFonts w:eastAsia="標楷體" w:cs="新細明體, PMingLiU"/>
          <w:color w:val="000000"/>
          <w:sz w:val="28"/>
          <w:szCs w:val="28"/>
        </w:rPr>
        <w:t>。</w:t>
      </w:r>
    </w:p>
    <w:p w:rsidR="00C36771" w:rsidRDefault="0058712A">
      <w:pPr>
        <w:pStyle w:val="Standard"/>
        <w:wordWrap/>
        <w:overflowPunct w:val="0"/>
        <w:spacing w:line="460" w:lineRule="exact"/>
        <w:ind w:left="1680" w:right="42" w:hanging="1680"/>
        <w:rPr>
          <w:color w:val="000000"/>
        </w:rPr>
      </w:pPr>
      <w:r>
        <w:rPr>
          <w:rFonts w:eastAsia="標楷體"/>
          <w:color w:val="000000"/>
          <w:sz w:val="28"/>
        </w:rPr>
        <w:t>第一百零</w:t>
      </w:r>
      <w:r>
        <w:rPr>
          <w:rFonts w:eastAsia="標楷體"/>
          <w:color w:val="000000"/>
          <w:sz w:val="28"/>
        </w:rPr>
        <w:t>三</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szCs w:val="28"/>
        </w:rPr>
        <w:t>本條例第六十七條所定退休教職員或遺族所領月退休金、月</w:t>
      </w:r>
      <w:proofErr w:type="gramStart"/>
      <w:r>
        <w:rPr>
          <w:rFonts w:eastAsia="標楷體" w:cs="新細明體"/>
          <w:color w:val="000000"/>
          <w:kern w:val="0"/>
          <w:sz w:val="28"/>
          <w:szCs w:val="28"/>
        </w:rPr>
        <w:t>撫卹金或遺屬</w:t>
      </w:r>
      <w:proofErr w:type="gramEnd"/>
      <w:r>
        <w:rPr>
          <w:rFonts w:eastAsia="標楷體" w:cs="新細明體"/>
          <w:color w:val="000000"/>
          <w:kern w:val="0"/>
          <w:sz w:val="28"/>
          <w:szCs w:val="28"/>
        </w:rPr>
        <w:t>年金</w:t>
      </w:r>
      <w:r>
        <w:rPr>
          <w:rFonts w:ascii="標楷體" w:eastAsia="標楷體" w:hAnsi="標楷體" w:cs="新細明體"/>
          <w:color w:val="000000"/>
          <w:kern w:val="0"/>
          <w:sz w:val="28"/>
          <w:szCs w:val="28"/>
        </w:rPr>
        <w:t>（以下稱定期退撫給與）</w:t>
      </w:r>
      <w:r>
        <w:rPr>
          <w:rFonts w:eastAsia="標楷體" w:cs="新細明體"/>
          <w:color w:val="000000"/>
          <w:kern w:val="0"/>
          <w:sz w:val="28"/>
          <w:szCs w:val="28"/>
        </w:rPr>
        <w:t>給付金額之調整比率，應由中央主管機關會同國防部及銓敘部組成專業評估小組，綜合考量國家經濟環境、政府財政與退撫基金準備率後，擬具評估報告或調整方案，報請行政院會同考試院核定公告</w:t>
      </w:r>
      <w:r>
        <w:rPr>
          <w:rFonts w:eastAsia="標楷體" w:cs="新細明體"/>
          <w:color w:val="000000"/>
          <w:kern w:val="0"/>
          <w:sz w:val="28"/>
          <w:szCs w:val="28"/>
        </w:rPr>
        <w:t>。</w:t>
      </w:r>
    </w:p>
    <w:p w:rsidR="00C36771" w:rsidRDefault="0058712A">
      <w:pPr>
        <w:pStyle w:val="Standard"/>
        <w:tabs>
          <w:tab w:val="left" w:pos="3466"/>
        </w:tabs>
        <w:wordWrap/>
        <w:overflowPunct w:val="0"/>
        <w:spacing w:line="460" w:lineRule="exact"/>
        <w:ind w:left="1733" w:right="42" w:firstLine="630"/>
        <w:rPr>
          <w:rFonts w:eastAsia="標楷體"/>
          <w:color w:val="000000"/>
          <w:sz w:val="28"/>
        </w:rPr>
      </w:pPr>
      <w:r>
        <w:rPr>
          <w:rFonts w:eastAsia="標楷體" w:cs="新細明體"/>
          <w:color w:val="000000"/>
          <w:kern w:val="0"/>
          <w:sz w:val="28"/>
        </w:rPr>
        <w:t>本條例第六十七條第一項所定消費者物價指數累計成長率，以中央主計機關公布之前一年一月至十二月止，共十二</w:t>
      </w:r>
      <w:proofErr w:type="gramStart"/>
      <w:r>
        <w:rPr>
          <w:rFonts w:eastAsia="標楷體" w:cs="新細明體"/>
          <w:color w:val="000000"/>
          <w:kern w:val="0"/>
          <w:sz w:val="28"/>
        </w:rPr>
        <w:t>個</w:t>
      </w:r>
      <w:proofErr w:type="gramEnd"/>
      <w:r>
        <w:rPr>
          <w:rFonts w:eastAsia="標楷體" w:cs="新細明體"/>
          <w:color w:val="000000"/>
          <w:kern w:val="0"/>
          <w:sz w:val="28"/>
        </w:rPr>
        <w:t>月之平均消費者物價指數年度年增率累計計算，並計算至二位小數，以下四捨五入</w:t>
      </w:r>
      <w:r>
        <w:rPr>
          <w:rFonts w:eastAsia="標楷體" w:cs="新細明體"/>
          <w:color w:val="000000"/>
          <w:kern w:val="0"/>
          <w:sz w:val="28"/>
        </w:rPr>
        <w:t>。</w:t>
      </w:r>
    </w:p>
    <w:p w:rsidR="00C36771" w:rsidRDefault="0058712A">
      <w:pPr>
        <w:pStyle w:val="Standard"/>
        <w:tabs>
          <w:tab w:val="left" w:pos="3466"/>
        </w:tabs>
        <w:wordWrap/>
        <w:overflowPunct w:val="0"/>
        <w:spacing w:line="460" w:lineRule="exact"/>
        <w:ind w:left="1733" w:right="42" w:firstLine="630"/>
        <w:rPr>
          <w:rFonts w:eastAsia="標楷體"/>
          <w:color w:val="000000"/>
          <w:sz w:val="28"/>
        </w:rPr>
      </w:pPr>
      <w:r>
        <w:rPr>
          <w:rFonts w:eastAsia="標楷體" w:cs="新細明體"/>
          <w:color w:val="000000"/>
          <w:kern w:val="0"/>
          <w:sz w:val="28"/>
        </w:rPr>
        <w:t>前項所</w:t>
      </w:r>
      <w:r>
        <w:rPr>
          <w:rFonts w:eastAsia="標楷體" w:cs="新細明體"/>
          <w:color w:val="000000"/>
          <w:kern w:val="0"/>
          <w:sz w:val="28"/>
        </w:rPr>
        <w:t>定消費者物價指數累計成長率</w:t>
      </w:r>
      <w:r>
        <w:rPr>
          <w:rFonts w:ascii="標楷體" w:eastAsia="標楷體" w:hAnsi="標楷體" w:cs="新細明體"/>
          <w:color w:val="000000"/>
          <w:kern w:val="0"/>
          <w:sz w:val="28"/>
        </w:rPr>
        <w:t>，</w:t>
      </w:r>
      <w:proofErr w:type="gramStart"/>
      <w:r>
        <w:rPr>
          <w:rFonts w:ascii="標楷體" w:eastAsia="標楷體" w:hAnsi="標楷體" w:cs="新細明體"/>
          <w:color w:val="000000"/>
          <w:kern w:val="0"/>
          <w:sz w:val="28"/>
        </w:rPr>
        <w:t>於其</w:t>
      </w:r>
      <w:r>
        <w:rPr>
          <w:rFonts w:eastAsia="標楷體" w:cs="新細明體"/>
          <w:color w:val="000000"/>
          <w:kern w:val="0"/>
          <w:sz w:val="28"/>
        </w:rPr>
        <w:t>達百分之五</w:t>
      </w:r>
      <w:proofErr w:type="gramEnd"/>
      <w:r>
        <w:rPr>
          <w:rFonts w:ascii="標楷體" w:eastAsia="標楷體" w:hAnsi="標楷體" w:cs="新細明體"/>
          <w:color w:val="000000"/>
          <w:kern w:val="0"/>
          <w:sz w:val="28"/>
        </w:rPr>
        <w:t>或每四年檢討</w:t>
      </w:r>
      <w:r>
        <w:rPr>
          <w:rFonts w:eastAsia="標楷體" w:cs="新細明體"/>
          <w:color w:val="000000"/>
          <w:kern w:val="0"/>
          <w:sz w:val="28"/>
        </w:rPr>
        <w:t>後，</w:t>
      </w:r>
      <w:r>
        <w:rPr>
          <w:rFonts w:ascii="標楷體" w:eastAsia="標楷體" w:hAnsi="標楷體" w:cs="新細明體"/>
          <w:color w:val="000000"/>
          <w:kern w:val="0"/>
          <w:sz w:val="28"/>
        </w:rPr>
        <w:t>有調整第一項之定期退撫給與給付金額時，應自調整生效當年度一月一日</w:t>
      </w:r>
      <w:r>
        <w:rPr>
          <w:rFonts w:eastAsia="標楷體" w:cs="新細明體"/>
          <w:color w:val="000000"/>
          <w:kern w:val="0"/>
          <w:sz w:val="28"/>
        </w:rPr>
        <w:t>重新起算</w:t>
      </w:r>
      <w:r>
        <w:rPr>
          <w:rFonts w:ascii="新細明體" w:eastAsia="標楷體" w:hAnsi="新細明體" w:cs="新細明體"/>
          <w:color w:val="000000"/>
          <w:kern w:val="0"/>
          <w:sz w:val="28"/>
        </w:rPr>
        <w:t>；</w:t>
      </w:r>
      <w:r>
        <w:rPr>
          <w:rFonts w:eastAsia="標楷體" w:cs="新細明體"/>
          <w:color w:val="000000"/>
          <w:kern w:val="0"/>
          <w:sz w:val="28"/>
        </w:rPr>
        <w:t>本條例</w:t>
      </w:r>
      <w:r>
        <w:rPr>
          <w:rFonts w:eastAsia="標楷體" w:cs="新細明體"/>
          <w:color w:val="000000"/>
          <w:kern w:val="0"/>
          <w:sz w:val="28"/>
        </w:rPr>
        <w:t>第六十七條第一項所定每四年期間，</w:t>
      </w:r>
      <w:proofErr w:type="gramStart"/>
      <w:r>
        <w:rPr>
          <w:rFonts w:eastAsia="標楷體" w:cs="新細明體"/>
          <w:color w:val="000000"/>
          <w:kern w:val="0"/>
          <w:sz w:val="28"/>
        </w:rPr>
        <w:t>併</w:t>
      </w:r>
      <w:proofErr w:type="gramEnd"/>
      <w:r>
        <w:rPr>
          <w:rFonts w:eastAsia="標楷體" w:cs="新細明體"/>
          <w:color w:val="000000"/>
          <w:kern w:val="0"/>
          <w:sz w:val="28"/>
        </w:rPr>
        <w:t>同</w:t>
      </w:r>
      <w:r>
        <w:rPr>
          <w:rFonts w:ascii="標楷體" w:eastAsia="標楷體" w:hAnsi="標楷體" w:cs="新細明體"/>
          <w:color w:val="000000"/>
          <w:kern w:val="0"/>
          <w:sz w:val="28"/>
        </w:rPr>
        <w:t>自該次調整生效日</w:t>
      </w:r>
      <w:r>
        <w:rPr>
          <w:rFonts w:eastAsia="標楷體" w:cs="新細明體"/>
          <w:color w:val="000000"/>
          <w:kern w:val="0"/>
          <w:sz w:val="28"/>
        </w:rPr>
        <w:t>重新起算</w:t>
      </w:r>
      <w:r>
        <w:rPr>
          <w:rFonts w:eastAsia="標楷體" w:cs="新細明體"/>
          <w:color w:val="000000"/>
          <w:kern w:val="0"/>
          <w:sz w:val="28"/>
        </w:rPr>
        <w:t>。</w:t>
      </w:r>
    </w:p>
    <w:p w:rsidR="00C36771" w:rsidRDefault="0058712A">
      <w:pPr>
        <w:pStyle w:val="Standard"/>
        <w:tabs>
          <w:tab w:val="left" w:pos="3466"/>
        </w:tabs>
        <w:wordWrap/>
        <w:overflowPunct w:val="0"/>
        <w:spacing w:line="460" w:lineRule="exact"/>
        <w:ind w:left="1733" w:right="42" w:firstLine="630"/>
        <w:rPr>
          <w:rFonts w:eastAsia="標楷體"/>
          <w:color w:val="000000"/>
          <w:sz w:val="28"/>
        </w:rPr>
      </w:pPr>
      <w:r>
        <w:rPr>
          <w:rFonts w:eastAsia="標楷體" w:cs="新細明體"/>
          <w:color w:val="000000"/>
          <w:kern w:val="0"/>
          <w:sz w:val="28"/>
        </w:rPr>
        <w:t>第二項所定消費者物價指數累計成長率之計算，自</w:t>
      </w:r>
      <w:r>
        <w:rPr>
          <w:rFonts w:eastAsia="標楷體" w:cs="新細明體"/>
          <w:color w:val="000000"/>
          <w:kern w:val="0"/>
          <w:sz w:val="28"/>
        </w:rPr>
        <w:lastRenderedPageBreak/>
        <w:t>中華民國一百零八年一月一日起算</w:t>
      </w:r>
      <w:r>
        <w:rPr>
          <w:rFonts w:eastAsia="標楷體" w:cs="新細明體"/>
          <w:color w:val="000000"/>
          <w:kern w:val="0"/>
          <w:sz w:val="28"/>
        </w:rPr>
        <w:t>。</w:t>
      </w:r>
    </w:p>
    <w:p w:rsidR="00C36771" w:rsidRDefault="0058712A">
      <w:pPr>
        <w:pStyle w:val="Standard"/>
        <w:tabs>
          <w:tab w:val="left" w:pos="3466"/>
        </w:tabs>
        <w:wordWrap/>
        <w:overflowPunct w:val="0"/>
        <w:spacing w:line="460" w:lineRule="exact"/>
        <w:ind w:left="1733" w:right="42" w:firstLine="630"/>
        <w:rPr>
          <w:rFonts w:eastAsia="標楷體"/>
          <w:color w:val="000000"/>
          <w:sz w:val="28"/>
        </w:rPr>
      </w:pPr>
      <w:r>
        <w:rPr>
          <w:rFonts w:eastAsia="標楷體" w:cs="新細明體"/>
          <w:color w:val="000000"/>
          <w:kern w:val="0"/>
          <w:sz w:val="28"/>
        </w:rPr>
        <w:t>本條例第六十七條第一項所定每四年</w:t>
      </w:r>
      <w:proofErr w:type="gramStart"/>
      <w:r>
        <w:rPr>
          <w:rFonts w:eastAsia="標楷體" w:cs="新細明體"/>
          <w:color w:val="000000"/>
          <w:kern w:val="0"/>
          <w:sz w:val="28"/>
        </w:rPr>
        <w:t>期間，</w:t>
      </w:r>
      <w:proofErr w:type="gramEnd"/>
      <w:r>
        <w:rPr>
          <w:rFonts w:eastAsia="標楷體" w:cs="新細明體"/>
          <w:color w:val="000000"/>
          <w:kern w:val="0"/>
          <w:sz w:val="28"/>
        </w:rPr>
        <w:t>自中華民國一百十一年七月一日起算</w:t>
      </w:r>
      <w:r>
        <w:rPr>
          <w:rFonts w:eastAsia="標楷體" w:cs="新細明體"/>
          <w:color w:val="000000"/>
          <w:kern w:val="0"/>
          <w:sz w:val="28"/>
        </w:rPr>
        <w:t>。</w:t>
      </w:r>
    </w:p>
    <w:p w:rsidR="00C36771" w:rsidRDefault="0058712A">
      <w:pPr>
        <w:pStyle w:val="Standard"/>
        <w:wordWrap/>
        <w:overflowPunct w:val="0"/>
        <w:spacing w:line="460" w:lineRule="exact"/>
        <w:ind w:left="1680" w:right="42" w:hanging="1680"/>
        <w:rPr>
          <w:color w:val="000000"/>
        </w:rPr>
      </w:pPr>
      <w:r>
        <w:rPr>
          <w:rFonts w:eastAsia="標楷體"/>
          <w:color w:val="000000"/>
          <w:sz w:val="28"/>
        </w:rPr>
        <w:t>第</w:t>
      </w:r>
      <w:r>
        <w:rPr>
          <w:rFonts w:eastAsia="標楷體" w:cs="新細明體"/>
          <w:color w:val="000000"/>
          <w:sz w:val="28"/>
        </w:rPr>
        <w:t>一百零</w:t>
      </w:r>
      <w:r>
        <w:rPr>
          <w:rFonts w:eastAsia="標楷體" w:cs="新細明體"/>
          <w:color w:val="000000"/>
          <w:sz w:val="28"/>
        </w:rPr>
        <w:t>五</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szCs w:val="28"/>
        </w:rPr>
        <w:t>教職員或其遺族依本條例規定請領各項退撫給與者，得依本條例第六十九條第二項規定，檢同開戶申請書與教職員最後服務學校開立之證明文件，於指定金融機構開立專戶，專供退撫給與之</w:t>
      </w:r>
      <w:proofErr w:type="gramStart"/>
      <w:r>
        <w:rPr>
          <w:rFonts w:eastAsia="標楷體" w:cs="新細明體"/>
          <w:color w:val="000000"/>
          <w:kern w:val="0"/>
          <w:sz w:val="28"/>
          <w:szCs w:val="28"/>
        </w:rPr>
        <w:t>發放或支給</w:t>
      </w:r>
      <w:proofErr w:type="gramEnd"/>
      <w:r>
        <w:rPr>
          <w:rFonts w:eastAsia="標楷體" w:cs="新細明體"/>
          <w:color w:val="000000"/>
          <w:kern w:val="0"/>
          <w:sz w:val="28"/>
          <w:szCs w:val="28"/>
        </w:rPr>
        <w:t>機關存入各項退撫給與之用。</w:t>
      </w:r>
    </w:p>
    <w:p w:rsidR="00C36771" w:rsidRDefault="0058712A">
      <w:pPr>
        <w:pStyle w:val="Standard"/>
        <w:wordWrap/>
        <w:overflowPunct w:val="0"/>
        <w:spacing w:line="460" w:lineRule="exact"/>
        <w:ind w:left="1680" w:right="42" w:hanging="1680"/>
        <w:rPr>
          <w:color w:val="000000"/>
        </w:rPr>
      </w:pPr>
      <w:r>
        <w:rPr>
          <w:rFonts w:eastAsia="Times New Roman"/>
          <w:color w:val="000000"/>
          <w:sz w:val="28"/>
        </w:rPr>
        <w:t xml:space="preserve">                               </w:t>
      </w:r>
      <w:r>
        <w:rPr>
          <w:rFonts w:eastAsia="標楷體" w:cs="新細明體"/>
          <w:color w:val="000000"/>
          <w:kern w:val="0"/>
          <w:sz w:val="28"/>
          <w:szCs w:val="28"/>
        </w:rPr>
        <w:t>前項所定退撫給與專戶，按退撫新制實施前後年資之退撫給與，分別開立，並依下列規定辦理</w:t>
      </w:r>
      <w:r>
        <w:rPr>
          <w:rFonts w:ascii="標楷體" w:eastAsia="標楷體" w:hAnsi="標楷體" w:cs="新細明體, PMingLiU"/>
          <w:color w:val="000000"/>
          <w:sz w:val="28"/>
          <w:szCs w:val="28"/>
        </w:rPr>
        <w:t>：</w:t>
      </w:r>
    </w:p>
    <w:p w:rsidR="00C36771" w:rsidRDefault="0058712A">
      <w:pPr>
        <w:pStyle w:val="affffffe"/>
        <w:numPr>
          <w:ilvl w:val="0"/>
          <w:numId w:val="25"/>
        </w:numPr>
        <w:tabs>
          <w:tab w:val="left" w:pos="4481"/>
        </w:tabs>
        <w:overflowPunct w:val="0"/>
        <w:spacing w:line="460" w:lineRule="exact"/>
        <w:ind w:left="2268" w:hanging="567"/>
        <w:jc w:val="both"/>
        <w:rPr>
          <w:color w:val="000000"/>
        </w:rPr>
      </w:pPr>
      <w:r>
        <w:rPr>
          <w:rFonts w:ascii="Times New Roman" w:eastAsia="標楷體" w:hAnsi="Times New Roman" w:cs="新細明體"/>
          <w:color w:val="000000"/>
          <w:sz w:val="28"/>
          <w:szCs w:val="28"/>
        </w:rPr>
        <w:t>由</w:t>
      </w:r>
      <w:r>
        <w:rPr>
          <w:rFonts w:ascii="Times New Roman" w:eastAsia="標楷體" w:hAnsi="Times New Roman" w:cs="新細明體"/>
          <w:color w:val="000000"/>
          <w:sz w:val="28"/>
          <w:szCs w:val="28"/>
        </w:rPr>
        <w:t>退撫基金管理機關</w:t>
      </w:r>
      <w:r>
        <w:rPr>
          <w:rFonts w:ascii="Times New Roman" w:eastAsia="標楷體" w:hAnsi="Times New Roman" w:cs="新細明體"/>
          <w:color w:val="000000"/>
          <w:sz w:val="28"/>
          <w:szCs w:val="28"/>
        </w:rPr>
        <w:t>及中央與地方主管機關與下列金融機構簽約，辦理專戶作業</w:t>
      </w:r>
      <w:r>
        <w:rPr>
          <w:rFonts w:ascii="標楷體" w:eastAsia="標楷體" w:hAnsi="標楷體" w:cs="新細明體, PMingLiU"/>
          <w:color w:val="000000"/>
          <w:sz w:val="28"/>
          <w:szCs w:val="28"/>
        </w:rPr>
        <w:t>：</w:t>
      </w:r>
    </w:p>
    <w:p w:rsidR="00C36771" w:rsidRDefault="0058712A">
      <w:pPr>
        <w:pStyle w:val="Standard"/>
        <w:widowControl/>
        <w:numPr>
          <w:ilvl w:val="0"/>
          <w:numId w:val="26"/>
        </w:numPr>
        <w:wordWrap/>
        <w:overflowPunct w:val="0"/>
        <w:spacing w:line="460" w:lineRule="exact"/>
        <w:ind w:left="3005" w:hanging="850"/>
        <w:textAlignment w:val="auto"/>
        <w:rPr>
          <w:rFonts w:ascii="標楷體" w:eastAsia="標楷體" w:hAnsi="標楷體" w:cs="新細明體, PMingLiU"/>
          <w:color w:val="000000"/>
          <w:sz w:val="28"/>
          <w:szCs w:val="28"/>
        </w:rPr>
      </w:pPr>
      <w:r>
        <w:rPr>
          <w:rFonts w:eastAsia="標楷體" w:cs="新細明體"/>
          <w:color w:val="000000"/>
          <w:kern w:val="0"/>
          <w:sz w:val="28"/>
          <w:szCs w:val="28"/>
        </w:rPr>
        <w:t>退撫新制實施後年資之退撫給與，以</w:t>
      </w:r>
      <w:r>
        <w:rPr>
          <w:rFonts w:eastAsia="標楷體" w:cs="新細明體"/>
          <w:color w:val="000000"/>
          <w:sz w:val="28"/>
          <w:szCs w:val="28"/>
        </w:rPr>
        <w:t>退撫基金管理機關</w:t>
      </w:r>
      <w:r>
        <w:rPr>
          <w:rFonts w:eastAsia="標楷體" w:cs="新細明體"/>
          <w:color w:val="000000"/>
          <w:sz w:val="28"/>
          <w:szCs w:val="28"/>
        </w:rPr>
        <w:t>委託代付之金融機構所指定之分支機構（以下簡稱專戶金融機構）為限</w:t>
      </w:r>
      <w:r>
        <w:rPr>
          <w:rFonts w:eastAsia="標楷體" w:cs="新細明體"/>
          <w:color w:val="000000"/>
          <w:sz w:val="28"/>
          <w:szCs w:val="28"/>
        </w:rPr>
        <w:t>。</w:t>
      </w:r>
    </w:p>
    <w:p w:rsidR="00C36771" w:rsidRDefault="0058712A">
      <w:pPr>
        <w:pStyle w:val="Standard"/>
        <w:widowControl/>
        <w:numPr>
          <w:ilvl w:val="0"/>
          <w:numId w:val="18"/>
        </w:numPr>
        <w:wordWrap/>
        <w:overflowPunct w:val="0"/>
        <w:spacing w:line="460" w:lineRule="exact"/>
        <w:ind w:left="3005" w:hanging="850"/>
        <w:textAlignment w:val="auto"/>
        <w:rPr>
          <w:rFonts w:ascii="標楷體" w:eastAsia="標楷體" w:hAnsi="標楷體" w:cs="新細明體, PMingLiU"/>
          <w:color w:val="000000"/>
          <w:sz w:val="28"/>
          <w:szCs w:val="28"/>
        </w:rPr>
      </w:pPr>
      <w:r>
        <w:rPr>
          <w:rFonts w:eastAsia="標楷體" w:cs="新細明體"/>
          <w:color w:val="000000"/>
          <w:kern w:val="0"/>
          <w:sz w:val="28"/>
          <w:szCs w:val="28"/>
        </w:rPr>
        <w:t>退撫新制實施前年資之退撫給與，以</w:t>
      </w:r>
      <w:r>
        <w:rPr>
          <w:rFonts w:eastAsia="標楷體" w:cs="新細明體"/>
          <w:color w:val="000000"/>
          <w:sz w:val="28"/>
          <w:szCs w:val="28"/>
        </w:rPr>
        <w:t>退撫基金管理機關</w:t>
      </w:r>
      <w:r>
        <w:rPr>
          <w:rFonts w:eastAsia="標楷體" w:cs="新細明體"/>
          <w:color w:val="000000"/>
          <w:sz w:val="28"/>
          <w:szCs w:val="28"/>
        </w:rPr>
        <w:t>委託代付之專戶金融機構優先。但與其他金融機構完成簽約事宜者，從其約定</w:t>
      </w:r>
      <w:r>
        <w:rPr>
          <w:rFonts w:eastAsia="標楷體" w:cs="新細明體"/>
          <w:color w:val="000000"/>
          <w:sz w:val="28"/>
          <w:szCs w:val="28"/>
        </w:rPr>
        <w:t>。</w:t>
      </w:r>
    </w:p>
    <w:p w:rsidR="00C36771" w:rsidRDefault="0058712A">
      <w:pPr>
        <w:pStyle w:val="affffffe"/>
        <w:numPr>
          <w:ilvl w:val="0"/>
          <w:numId w:val="27"/>
        </w:numPr>
        <w:overflowPunct w:val="0"/>
        <w:spacing w:line="460" w:lineRule="exact"/>
        <w:ind w:left="2324" w:hanging="567"/>
        <w:jc w:val="both"/>
        <w:rPr>
          <w:rFonts w:ascii="Times New Roman" w:eastAsia="標楷體" w:hAnsi="Times New Roman" w:cs="新細明體"/>
          <w:color w:val="000000"/>
          <w:kern w:val="0"/>
          <w:sz w:val="28"/>
          <w:szCs w:val="28"/>
        </w:rPr>
      </w:pPr>
      <w:r>
        <w:rPr>
          <w:rFonts w:ascii="Times New Roman" w:eastAsia="標楷體" w:hAnsi="Times New Roman" w:cs="新細明體"/>
          <w:color w:val="000000"/>
          <w:kern w:val="0"/>
          <w:sz w:val="28"/>
          <w:szCs w:val="28"/>
        </w:rPr>
        <w:t>退撫給與專戶內之存款</w:t>
      </w:r>
      <w:proofErr w:type="gramStart"/>
      <w:r>
        <w:rPr>
          <w:rFonts w:ascii="Times New Roman" w:eastAsia="標楷體" w:hAnsi="Times New Roman" w:cs="新細明體"/>
          <w:color w:val="000000"/>
          <w:kern w:val="0"/>
          <w:sz w:val="28"/>
          <w:szCs w:val="28"/>
        </w:rPr>
        <w:t>依各專戶</w:t>
      </w:r>
      <w:proofErr w:type="gramEnd"/>
      <w:r>
        <w:rPr>
          <w:rFonts w:ascii="Times New Roman" w:eastAsia="標楷體" w:hAnsi="Times New Roman" w:cs="新細明體"/>
          <w:color w:val="000000"/>
          <w:kern w:val="0"/>
          <w:sz w:val="28"/>
          <w:szCs w:val="28"/>
        </w:rPr>
        <w:t>金融機構規定計息，但不得以</w:t>
      </w:r>
      <w:proofErr w:type="gramStart"/>
      <w:r>
        <w:rPr>
          <w:rFonts w:ascii="Times New Roman" w:eastAsia="標楷體" w:hAnsi="Times New Roman" w:cs="新細明體"/>
          <w:color w:val="000000"/>
          <w:kern w:val="0"/>
          <w:sz w:val="28"/>
          <w:szCs w:val="28"/>
        </w:rPr>
        <w:t>低於各專戶</w:t>
      </w:r>
      <w:proofErr w:type="gramEnd"/>
      <w:r>
        <w:rPr>
          <w:rFonts w:ascii="Times New Roman" w:eastAsia="標楷體" w:hAnsi="Times New Roman" w:cs="新細明體"/>
          <w:color w:val="000000"/>
          <w:kern w:val="0"/>
          <w:sz w:val="28"/>
          <w:szCs w:val="28"/>
        </w:rPr>
        <w:t>金融機構活期儲蓄存款之牌告利率計息。</w:t>
      </w:r>
    </w:p>
    <w:p w:rsidR="00C36771" w:rsidRDefault="0058712A">
      <w:pPr>
        <w:pStyle w:val="affffffe"/>
        <w:numPr>
          <w:ilvl w:val="0"/>
          <w:numId w:val="17"/>
        </w:numPr>
        <w:overflowPunct w:val="0"/>
        <w:spacing w:line="460" w:lineRule="exact"/>
        <w:ind w:left="2324" w:hanging="567"/>
        <w:jc w:val="both"/>
        <w:rPr>
          <w:rFonts w:ascii="Times New Roman" w:eastAsia="標楷體" w:hAnsi="Times New Roman" w:cs="新細明體"/>
          <w:color w:val="000000"/>
          <w:kern w:val="0"/>
          <w:sz w:val="28"/>
          <w:szCs w:val="28"/>
        </w:rPr>
      </w:pPr>
      <w:r>
        <w:rPr>
          <w:rFonts w:ascii="Times New Roman" w:eastAsia="標楷體" w:hAnsi="Times New Roman" w:cs="新細明體"/>
          <w:color w:val="000000"/>
          <w:kern w:val="0"/>
          <w:sz w:val="28"/>
          <w:szCs w:val="28"/>
        </w:rPr>
        <w:t>退休教職員或遺族於開立退撫給與</w:t>
      </w:r>
      <w:proofErr w:type="gramStart"/>
      <w:r>
        <w:rPr>
          <w:rFonts w:ascii="Times New Roman" w:eastAsia="標楷體" w:hAnsi="Times New Roman" w:cs="新細明體"/>
          <w:color w:val="000000"/>
          <w:kern w:val="0"/>
          <w:sz w:val="28"/>
          <w:szCs w:val="28"/>
        </w:rPr>
        <w:t>專戶後</w:t>
      </w:r>
      <w:proofErr w:type="gramEnd"/>
      <w:r>
        <w:rPr>
          <w:rFonts w:ascii="Times New Roman" w:eastAsia="標楷體" w:hAnsi="Times New Roman" w:cs="新細明體"/>
          <w:color w:val="000000"/>
          <w:kern w:val="0"/>
          <w:sz w:val="28"/>
          <w:szCs w:val="28"/>
        </w:rPr>
        <w:t>，於</w:t>
      </w:r>
      <w:proofErr w:type="gramStart"/>
      <w:r>
        <w:rPr>
          <w:rFonts w:ascii="Times New Roman" w:eastAsia="標楷體" w:hAnsi="Times New Roman" w:cs="新細明體"/>
          <w:color w:val="000000"/>
          <w:kern w:val="0"/>
          <w:sz w:val="28"/>
          <w:szCs w:val="28"/>
        </w:rPr>
        <w:t>一</w:t>
      </w:r>
      <w:proofErr w:type="gramEnd"/>
      <w:r>
        <w:rPr>
          <w:rFonts w:ascii="Times New Roman" w:eastAsia="標楷體" w:hAnsi="Times New Roman" w:cs="新細明體"/>
          <w:color w:val="000000"/>
          <w:kern w:val="0"/>
          <w:sz w:val="28"/>
          <w:szCs w:val="28"/>
        </w:rPr>
        <w:t>年內未有退撫給與存入者，由最後服務學校或發放機關查證事實後，通知專戶金融機構逕行辦理專</w:t>
      </w:r>
      <w:proofErr w:type="gramStart"/>
      <w:r>
        <w:rPr>
          <w:rFonts w:ascii="Times New Roman" w:eastAsia="標楷體" w:hAnsi="Times New Roman" w:cs="新細明體"/>
          <w:color w:val="000000"/>
          <w:kern w:val="0"/>
          <w:sz w:val="28"/>
          <w:szCs w:val="28"/>
        </w:rPr>
        <w:t>戶銷戶</w:t>
      </w:r>
      <w:proofErr w:type="gramEnd"/>
      <w:r>
        <w:rPr>
          <w:rFonts w:ascii="Times New Roman" w:eastAsia="標楷體" w:hAnsi="Times New Roman" w:cs="新細明體"/>
          <w:color w:val="000000"/>
          <w:kern w:val="0"/>
          <w:sz w:val="28"/>
          <w:szCs w:val="28"/>
        </w:rPr>
        <w:t>並通知當事人。</w:t>
      </w:r>
    </w:p>
    <w:p w:rsidR="00C36771" w:rsidRDefault="0058712A">
      <w:pPr>
        <w:pStyle w:val="Standard"/>
        <w:numPr>
          <w:ilvl w:val="0"/>
          <w:numId w:val="17"/>
        </w:numPr>
        <w:wordWrap/>
        <w:overflowPunct w:val="0"/>
        <w:spacing w:line="460" w:lineRule="exact"/>
        <w:ind w:left="2324" w:hanging="567"/>
        <w:textAlignment w:val="auto"/>
        <w:rPr>
          <w:rFonts w:eastAsia="標楷體" w:cs="新細明體"/>
          <w:color w:val="000000"/>
          <w:kern w:val="0"/>
          <w:sz w:val="28"/>
          <w:szCs w:val="28"/>
        </w:rPr>
      </w:pPr>
      <w:r>
        <w:rPr>
          <w:rFonts w:eastAsia="標楷體" w:cs="新細明體"/>
          <w:color w:val="000000"/>
          <w:kern w:val="0"/>
          <w:sz w:val="28"/>
          <w:szCs w:val="28"/>
        </w:rPr>
        <w:t>退休教職員或遺族不得自行匯入任何款額至退撫給與專戶內，但得自由提領或匯出。</w:t>
      </w:r>
    </w:p>
    <w:p w:rsidR="00C36771" w:rsidRDefault="0058712A">
      <w:pPr>
        <w:pStyle w:val="Standard"/>
        <w:numPr>
          <w:ilvl w:val="0"/>
          <w:numId w:val="17"/>
        </w:numPr>
        <w:wordWrap/>
        <w:overflowPunct w:val="0"/>
        <w:spacing w:line="460" w:lineRule="exact"/>
        <w:ind w:left="2324" w:hanging="567"/>
        <w:textAlignment w:val="auto"/>
        <w:rPr>
          <w:rFonts w:eastAsia="標楷體" w:cs="新細明體"/>
          <w:color w:val="000000"/>
          <w:kern w:val="0"/>
          <w:sz w:val="28"/>
          <w:szCs w:val="28"/>
        </w:rPr>
      </w:pPr>
      <w:r>
        <w:rPr>
          <w:rFonts w:eastAsia="標楷體" w:cs="新細明體"/>
          <w:color w:val="000000"/>
          <w:kern w:val="0"/>
          <w:sz w:val="28"/>
          <w:szCs w:val="28"/>
        </w:rPr>
        <w:t>退休教職員或遺族自退撫給與專戶內提領或匯出之金額，不受本條例第六十九條第三項規定保障。</w:t>
      </w:r>
    </w:p>
    <w:p w:rsidR="00C36771" w:rsidRDefault="0058712A">
      <w:pPr>
        <w:pStyle w:val="Standard"/>
        <w:wordWrap/>
        <w:overflowPunct w:val="0"/>
        <w:spacing w:line="460" w:lineRule="exact"/>
        <w:ind w:left="1680" w:right="42" w:hanging="168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 xml:space="preserve">    </w:t>
      </w:r>
      <w:r>
        <w:rPr>
          <w:rFonts w:eastAsia="標楷體" w:cs="新細明體"/>
          <w:color w:val="000000"/>
          <w:kern w:val="0"/>
          <w:sz w:val="28"/>
          <w:szCs w:val="28"/>
        </w:rPr>
        <w:t>本條例第六十九條第四</w:t>
      </w:r>
      <w:proofErr w:type="gramStart"/>
      <w:r>
        <w:rPr>
          <w:rFonts w:eastAsia="標楷體" w:cs="新細明體"/>
          <w:color w:val="000000"/>
          <w:kern w:val="0"/>
          <w:sz w:val="28"/>
          <w:szCs w:val="28"/>
        </w:rPr>
        <w:t>項所稱支給</w:t>
      </w:r>
      <w:proofErr w:type="gramEnd"/>
      <w:r>
        <w:rPr>
          <w:rFonts w:eastAsia="標楷體" w:cs="新細明體"/>
          <w:color w:val="000000"/>
          <w:kern w:val="0"/>
          <w:sz w:val="28"/>
          <w:szCs w:val="28"/>
        </w:rPr>
        <w:t>或發放機關應就領受人冒領或溢</w:t>
      </w:r>
      <w:r>
        <w:rPr>
          <w:rFonts w:eastAsia="標楷體" w:cs="新細明體"/>
          <w:color w:val="000000"/>
          <w:kern w:val="0"/>
          <w:sz w:val="28"/>
          <w:szCs w:val="28"/>
        </w:rPr>
        <w:lastRenderedPageBreak/>
        <w:t>領之款項</w:t>
      </w:r>
      <w:proofErr w:type="gramStart"/>
      <w:r>
        <w:rPr>
          <w:rFonts w:eastAsia="標楷體" w:cs="新細明體"/>
          <w:color w:val="000000"/>
          <w:kern w:val="0"/>
          <w:sz w:val="28"/>
          <w:szCs w:val="28"/>
        </w:rPr>
        <w:t>覈</w:t>
      </w:r>
      <w:proofErr w:type="gramEnd"/>
      <w:r>
        <w:rPr>
          <w:rFonts w:eastAsia="標楷體" w:cs="新細明體"/>
          <w:color w:val="000000"/>
          <w:kern w:val="0"/>
          <w:sz w:val="28"/>
          <w:szCs w:val="28"/>
        </w:rPr>
        <w:t>實收回，不受同條第一項及第三項規定之限制，指退撫給與之支給或發放機關應按其冒領或溢領之退撫給與金額，書面通知開戶銀行逕自退撫給與</w:t>
      </w:r>
      <w:proofErr w:type="gramStart"/>
      <w:r>
        <w:rPr>
          <w:rFonts w:eastAsia="標楷體" w:cs="新細明體"/>
          <w:color w:val="000000"/>
          <w:kern w:val="0"/>
          <w:sz w:val="28"/>
          <w:szCs w:val="28"/>
        </w:rPr>
        <w:t>專戶扣款</w:t>
      </w:r>
      <w:proofErr w:type="gramEnd"/>
      <w:r>
        <w:rPr>
          <w:rFonts w:eastAsia="標楷體" w:cs="新細明體"/>
          <w:color w:val="000000"/>
          <w:kern w:val="0"/>
          <w:sz w:val="28"/>
          <w:szCs w:val="28"/>
        </w:rPr>
        <w:t>，</w:t>
      </w:r>
      <w:proofErr w:type="gramStart"/>
      <w:r>
        <w:rPr>
          <w:rFonts w:eastAsia="標楷體" w:cs="新細明體"/>
          <w:color w:val="000000"/>
          <w:kern w:val="0"/>
          <w:sz w:val="28"/>
          <w:szCs w:val="28"/>
        </w:rPr>
        <w:t>覈</w:t>
      </w:r>
      <w:proofErr w:type="gramEnd"/>
      <w:r>
        <w:rPr>
          <w:rFonts w:eastAsia="標楷體" w:cs="新細明體"/>
          <w:color w:val="000000"/>
          <w:kern w:val="0"/>
          <w:sz w:val="28"/>
          <w:szCs w:val="28"/>
        </w:rPr>
        <w:t>實收回冒領或溢領之金額，不受退撫給與專戶內存款不得作為抵銷、扣押、供擔保或強制執行標的之限制。</w:t>
      </w:r>
    </w:p>
    <w:p w:rsidR="00C36771" w:rsidRDefault="0058712A">
      <w:pPr>
        <w:pStyle w:val="Standard"/>
        <w:wordWrap/>
        <w:overflowPunct w:val="0"/>
        <w:spacing w:line="460" w:lineRule="exact"/>
        <w:ind w:left="1680" w:right="42" w:hanging="1680"/>
        <w:rPr>
          <w:color w:val="000000"/>
        </w:rPr>
      </w:pPr>
      <w:r>
        <w:rPr>
          <w:rFonts w:eastAsia="標楷體"/>
          <w:color w:val="000000"/>
          <w:sz w:val="28"/>
        </w:rPr>
        <w:t>第一百十一條</w:t>
      </w:r>
      <w:r>
        <w:rPr>
          <w:rFonts w:eastAsia="Times New Roman"/>
          <w:color w:val="000000"/>
          <w:sz w:val="28"/>
        </w:rPr>
        <w:t xml:space="preserve">　　</w:t>
      </w:r>
      <w:r>
        <w:rPr>
          <w:rFonts w:eastAsia="標楷體"/>
          <w:color w:val="000000"/>
          <w:sz w:val="28"/>
        </w:rPr>
        <w:t>（刪除）</w:t>
      </w:r>
    </w:p>
    <w:p w:rsidR="00C36771" w:rsidRDefault="0058712A">
      <w:pPr>
        <w:pStyle w:val="Standard"/>
        <w:wordWrap/>
        <w:overflowPunct w:val="0"/>
        <w:spacing w:line="460" w:lineRule="exact"/>
        <w:ind w:left="1974" w:right="42" w:hanging="1974"/>
        <w:rPr>
          <w:color w:val="000000"/>
        </w:rPr>
      </w:pPr>
      <w:r>
        <w:rPr>
          <w:rFonts w:eastAsia="標楷體"/>
          <w:color w:val="000000"/>
          <w:sz w:val="28"/>
        </w:rPr>
        <w:t>第一百二十</w:t>
      </w:r>
      <w:r>
        <w:rPr>
          <w:rFonts w:eastAsia="標楷體"/>
          <w:color w:val="000000"/>
          <w:sz w:val="28"/>
        </w:rPr>
        <w:t>六</w:t>
      </w:r>
      <w:r>
        <w:rPr>
          <w:rFonts w:eastAsia="標楷體"/>
          <w:color w:val="000000"/>
          <w:sz w:val="28"/>
        </w:rPr>
        <w:t>條</w:t>
      </w:r>
      <w:r>
        <w:rPr>
          <w:rFonts w:eastAsia="Times New Roman"/>
          <w:color w:val="000000"/>
          <w:sz w:val="28"/>
        </w:rPr>
        <w:t xml:space="preserve">　　</w:t>
      </w:r>
      <w:r>
        <w:rPr>
          <w:rFonts w:eastAsia="標楷體" w:cs="新細明體"/>
          <w:color w:val="000000"/>
          <w:kern w:val="0"/>
          <w:sz w:val="28"/>
          <w:szCs w:val="28"/>
        </w:rPr>
        <w:t>本條例第九十八條</w:t>
      </w:r>
      <w:r>
        <w:rPr>
          <w:rFonts w:ascii="標楷體" w:eastAsia="標楷體" w:hAnsi="標楷體" w:cs="新細明體"/>
          <w:color w:val="000000"/>
          <w:kern w:val="0"/>
          <w:sz w:val="28"/>
          <w:szCs w:val="28"/>
        </w:rPr>
        <w:t>第一項</w:t>
      </w:r>
      <w:r>
        <w:rPr>
          <w:rFonts w:eastAsia="標楷體" w:cs="新細明體"/>
          <w:color w:val="000000"/>
          <w:kern w:val="0"/>
          <w:sz w:val="28"/>
          <w:szCs w:val="28"/>
        </w:rPr>
        <w:t>所稱中華民國一百十二年七月一日</w:t>
      </w:r>
      <w:proofErr w:type="gramStart"/>
      <w:r>
        <w:rPr>
          <w:rFonts w:eastAsia="標楷體" w:cs="新細明體"/>
          <w:color w:val="000000"/>
          <w:kern w:val="0"/>
          <w:sz w:val="28"/>
          <w:szCs w:val="28"/>
        </w:rPr>
        <w:t>以後初</w:t>
      </w:r>
      <w:proofErr w:type="gramEnd"/>
      <w:r>
        <w:rPr>
          <w:rFonts w:eastAsia="標楷體" w:cs="新細明體"/>
          <w:color w:val="000000"/>
          <w:kern w:val="0"/>
          <w:sz w:val="28"/>
          <w:szCs w:val="28"/>
        </w:rPr>
        <w:t>任教職員，指一百十二年七月一日以後，初次擔任學校依法定資格聘（派）任、</w:t>
      </w:r>
      <w:proofErr w:type="gramStart"/>
      <w:r>
        <w:rPr>
          <w:rFonts w:eastAsia="標楷體" w:cs="新細明體"/>
          <w:color w:val="000000"/>
          <w:kern w:val="0"/>
          <w:sz w:val="28"/>
          <w:szCs w:val="28"/>
        </w:rPr>
        <w:t>遴</w:t>
      </w:r>
      <w:proofErr w:type="gramEnd"/>
      <w:r>
        <w:rPr>
          <w:rFonts w:eastAsia="標楷體" w:cs="新細明體"/>
          <w:color w:val="000000"/>
          <w:kern w:val="0"/>
          <w:sz w:val="28"/>
          <w:szCs w:val="28"/>
        </w:rPr>
        <w:t>用之校長、教師、研究人員、專業技術人員、專業及技術教師、稀少性科技人員、專任運動教練及新制助教</w:t>
      </w:r>
      <w:r>
        <w:rPr>
          <w:rFonts w:eastAsia="標楷體" w:cs="新細明體"/>
          <w:color w:val="000000"/>
          <w:kern w:val="0"/>
          <w:sz w:val="28"/>
          <w:szCs w:val="28"/>
        </w:rPr>
        <w:t>。</w:t>
      </w:r>
    </w:p>
    <w:p w:rsidR="00C36771" w:rsidRDefault="0058712A">
      <w:pPr>
        <w:pStyle w:val="Standard"/>
        <w:wordWrap/>
        <w:overflowPunct w:val="0"/>
        <w:spacing w:line="460" w:lineRule="exact"/>
        <w:ind w:left="1943" w:right="42" w:firstLine="630"/>
        <w:rPr>
          <w:rFonts w:eastAsia="標楷體"/>
          <w:color w:val="000000"/>
          <w:sz w:val="28"/>
        </w:rPr>
      </w:pPr>
      <w:r>
        <w:rPr>
          <w:rFonts w:ascii="標楷體" w:eastAsia="標楷體" w:hAnsi="標楷體" w:cs="新細明體"/>
          <w:color w:val="000000"/>
          <w:kern w:val="0"/>
          <w:sz w:val="28"/>
        </w:rPr>
        <w:t>本條例第九十八條第二項及第</w:t>
      </w:r>
      <w:proofErr w:type="gramStart"/>
      <w:r>
        <w:rPr>
          <w:rFonts w:ascii="標楷體" w:eastAsia="標楷體" w:hAnsi="標楷體" w:cs="新細明體"/>
          <w:color w:val="000000"/>
          <w:kern w:val="0"/>
          <w:sz w:val="28"/>
        </w:rPr>
        <w:t>三</w:t>
      </w:r>
      <w:proofErr w:type="gramEnd"/>
      <w:r>
        <w:rPr>
          <w:rFonts w:ascii="標楷體" w:eastAsia="標楷體" w:hAnsi="標楷體" w:cs="新細明體"/>
          <w:color w:val="000000"/>
          <w:kern w:val="0"/>
          <w:sz w:val="28"/>
        </w:rPr>
        <w:t>項所定由政府編列預算撥款補助退撫基金，應由中央主管機關依退撫基金財務精算結果，循預算程序分年編列預算撥款補助教職員退撫基金帳戶</w:t>
      </w:r>
      <w:r>
        <w:rPr>
          <w:rFonts w:ascii="標楷體" w:eastAsia="標楷體" w:hAnsi="標楷體" w:cs="新細明體"/>
          <w:color w:val="000000"/>
          <w:kern w:val="0"/>
          <w:sz w:val="28"/>
        </w:rPr>
        <w:t>。</w:t>
      </w:r>
    </w:p>
    <w:p w:rsidR="00C36771" w:rsidRDefault="0058712A">
      <w:pPr>
        <w:pStyle w:val="Standard"/>
        <w:wordWrap/>
        <w:overflowPunct w:val="0"/>
        <w:spacing w:line="460" w:lineRule="exact"/>
        <w:ind w:left="1974" w:right="42" w:hanging="1974"/>
        <w:rPr>
          <w:color w:val="000000"/>
        </w:rPr>
      </w:pPr>
      <w:r>
        <w:rPr>
          <w:rFonts w:eastAsia="標楷體"/>
          <w:color w:val="000000"/>
          <w:sz w:val="28"/>
        </w:rPr>
        <w:t>第一百二十九條</w:t>
      </w:r>
      <w:r>
        <w:rPr>
          <w:rFonts w:eastAsia="Times New Roman"/>
          <w:color w:val="000000"/>
          <w:sz w:val="28"/>
        </w:rPr>
        <w:t xml:space="preserve">　　</w:t>
      </w:r>
      <w:r>
        <w:rPr>
          <w:rFonts w:eastAsia="標楷體"/>
          <w:color w:val="000000"/>
          <w:sz w:val="28"/>
        </w:rPr>
        <w:t>本細則除第七條及第一百零五條自中華民國一百零六年八月十一日施行外，其餘條文自一百零七年七月一日施行。</w:t>
      </w:r>
    </w:p>
    <w:p w:rsidR="00C36771" w:rsidRDefault="0058712A">
      <w:pPr>
        <w:pStyle w:val="Standard"/>
        <w:wordWrap/>
        <w:overflowPunct w:val="0"/>
        <w:spacing w:line="460" w:lineRule="exact"/>
        <w:ind w:left="1943" w:right="42" w:firstLine="630"/>
        <w:rPr>
          <w:rFonts w:eastAsia="標楷體"/>
          <w:color w:val="000000"/>
          <w:sz w:val="28"/>
        </w:rPr>
      </w:pPr>
      <w:r>
        <w:rPr>
          <w:rFonts w:ascii="標楷體" w:eastAsia="標楷體" w:hAnsi="標楷體" w:cs="新細明體"/>
          <w:color w:val="000000"/>
          <w:kern w:val="0"/>
          <w:sz w:val="28"/>
        </w:rPr>
        <w:t>本細則修正條文，除中華民國一百十年五月七日修正發布之第七條及第</w:t>
      </w:r>
      <w:r>
        <w:rPr>
          <w:rFonts w:ascii="標楷體" w:eastAsia="標楷體" w:hAnsi="標楷體" w:cs="新細明體"/>
          <w:color w:val="000000"/>
          <w:kern w:val="0"/>
          <w:sz w:val="28"/>
        </w:rPr>
        <w:t>一百二十九條自一百十年四月一日施行，一百十一年九月三十日修正發布之第七條之</w:t>
      </w:r>
      <w:proofErr w:type="gramStart"/>
      <w:r>
        <w:rPr>
          <w:rFonts w:ascii="標楷體" w:eastAsia="標楷體" w:hAnsi="標楷體" w:cs="新細明體"/>
          <w:color w:val="000000"/>
          <w:kern w:val="0"/>
          <w:sz w:val="28"/>
        </w:rPr>
        <w:t>一</w:t>
      </w:r>
      <w:proofErr w:type="gramEnd"/>
      <w:r>
        <w:rPr>
          <w:rFonts w:ascii="標楷體" w:eastAsia="標楷體" w:hAnsi="標楷體" w:cs="新細明體"/>
          <w:color w:val="000000"/>
          <w:kern w:val="0"/>
          <w:sz w:val="28"/>
        </w:rPr>
        <w:t>自一百十年一月一日施行、第一百零三條自一百十一年七月一日施行</w:t>
      </w:r>
      <w:r>
        <w:rPr>
          <w:rFonts w:ascii="標楷體" w:eastAsia="標楷體" w:hAnsi="標楷體" w:cs="新細明體"/>
          <w:color w:val="000000"/>
          <w:kern w:val="0"/>
          <w:sz w:val="28"/>
        </w:rPr>
        <w:t>，及一百十二年十月二十日修正發布之第一百二十六條自一百十二年七月一日施行</w:t>
      </w:r>
      <w:r>
        <w:rPr>
          <w:rFonts w:ascii="標楷體" w:eastAsia="標楷體" w:hAnsi="標楷體" w:cs="新細明體"/>
          <w:color w:val="000000"/>
          <w:kern w:val="0"/>
          <w:sz w:val="28"/>
        </w:rPr>
        <w:t>外，自發布日施行。</w:t>
      </w:r>
    </w:p>
    <w:sectPr w:rsidR="00C36771">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2A" w:rsidRDefault="0058712A">
      <w:r>
        <w:separator/>
      </w:r>
    </w:p>
  </w:endnote>
  <w:endnote w:type="continuationSeparator" w:id="0">
    <w:p w:rsidR="0058712A" w:rsidRDefault="0058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新書宋, SimSun">
    <w:charset w:val="00"/>
    <w:family w:val="script"/>
    <w:pitch w:val="default"/>
  </w:font>
  <w:font w:name="華康細明體, 微軟正黑體">
    <w:charset w:val="00"/>
    <w:family w:val="moder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2A" w:rsidRDefault="0058712A">
      <w:r>
        <w:rPr>
          <w:color w:val="000000"/>
        </w:rPr>
        <w:separator/>
      </w:r>
    </w:p>
  </w:footnote>
  <w:footnote w:type="continuationSeparator" w:id="0">
    <w:p w:rsidR="0058712A" w:rsidRDefault="0058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AA0"/>
    <w:multiLevelType w:val="multilevel"/>
    <w:tmpl w:val="4F364F64"/>
    <w:styleLink w:val="WW8Num5"/>
    <w:lvl w:ilvl="0">
      <w:start w:val="1"/>
      <w:numFmt w:val="japaneseCounting"/>
      <w:lvlText w:val="%1、"/>
      <w:lvlJc w:val="left"/>
      <w:rPr>
        <w:color w:val="00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08863E4D"/>
    <w:multiLevelType w:val="multilevel"/>
    <w:tmpl w:val="9364C9C4"/>
    <w:styleLink w:val="WW8Num1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0A063E42"/>
    <w:multiLevelType w:val="multilevel"/>
    <w:tmpl w:val="311A0150"/>
    <w:styleLink w:val="WW8Num14"/>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16A90667"/>
    <w:multiLevelType w:val="multilevel"/>
    <w:tmpl w:val="90604C12"/>
    <w:styleLink w:val="WW8Num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1943519F"/>
    <w:multiLevelType w:val="multilevel"/>
    <w:tmpl w:val="3022F0E8"/>
    <w:styleLink w:val="WW8Num6"/>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1A543477"/>
    <w:multiLevelType w:val="multilevel"/>
    <w:tmpl w:val="080E7ED4"/>
    <w:styleLink w:val="WW8Num1"/>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2D6E077D"/>
    <w:multiLevelType w:val="multilevel"/>
    <w:tmpl w:val="D2326106"/>
    <w:styleLink w:val="WW8Num9"/>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2E0A7B62"/>
    <w:multiLevelType w:val="multilevel"/>
    <w:tmpl w:val="5BDEA8E2"/>
    <w:styleLink w:val="WW8Num8"/>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2E6769D6"/>
    <w:multiLevelType w:val="multilevel"/>
    <w:tmpl w:val="FD7E6E30"/>
    <w:styleLink w:val="WW8Num30"/>
    <w:lvl w:ilvl="0">
      <w:start w:val="1"/>
      <w:numFmt w:val="japaneseCounting"/>
      <w:lvlText w:val="%1、"/>
      <w:lvlJc w:val="left"/>
      <w:rPr>
        <w:rFonts w:ascii="標楷體" w:eastAsia="標楷體" w:hAnsi="標楷體" w:cs="新細明體, PMingLiU"/>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32DD72F3"/>
    <w:multiLevelType w:val="multilevel"/>
    <w:tmpl w:val="65029692"/>
    <w:styleLink w:val="WW8Num4"/>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
    <w:nsid w:val="47B0758F"/>
    <w:multiLevelType w:val="multilevel"/>
    <w:tmpl w:val="7B723344"/>
    <w:styleLink w:val="WW8Num26"/>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nsid w:val="50E762D7"/>
    <w:multiLevelType w:val="multilevel"/>
    <w:tmpl w:val="599AFD96"/>
    <w:styleLink w:val="WW8Num10"/>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2">
    <w:nsid w:val="5D1D5F13"/>
    <w:multiLevelType w:val="multilevel"/>
    <w:tmpl w:val="6D5486E4"/>
    <w:styleLink w:val="WW8Num7"/>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3">
    <w:nsid w:val="5E4379A7"/>
    <w:multiLevelType w:val="multilevel"/>
    <w:tmpl w:val="79262F28"/>
    <w:styleLink w:val="WW8Num3"/>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4">
    <w:nsid w:val="6944320A"/>
    <w:multiLevelType w:val="multilevel"/>
    <w:tmpl w:val="F1F61950"/>
    <w:styleLink w:val="WW8Num16"/>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5">
    <w:nsid w:val="6AD65AAC"/>
    <w:multiLevelType w:val="multilevel"/>
    <w:tmpl w:val="A08809A2"/>
    <w:styleLink w:val="WW8Num15"/>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6">
    <w:nsid w:val="73E61D2C"/>
    <w:multiLevelType w:val="multilevel"/>
    <w:tmpl w:val="D23CEAB8"/>
    <w:styleLink w:val="WW8Num13"/>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7">
    <w:nsid w:val="7B914770"/>
    <w:multiLevelType w:val="multilevel"/>
    <w:tmpl w:val="C87E3F0C"/>
    <w:styleLink w:val="WW8Num11"/>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5"/>
  </w:num>
  <w:num w:numId="2">
    <w:abstractNumId w:val="3"/>
  </w:num>
  <w:num w:numId="3">
    <w:abstractNumId w:val="13"/>
  </w:num>
  <w:num w:numId="4">
    <w:abstractNumId w:val="9"/>
  </w:num>
  <w:num w:numId="5">
    <w:abstractNumId w:val="0"/>
  </w:num>
  <w:num w:numId="6">
    <w:abstractNumId w:val="4"/>
  </w:num>
  <w:num w:numId="7">
    <w:abstractNumId w:val="12"/>
  </w:num>
  <w:num w:numId="8">
    <w:abstractNumId w:val="7"/>
  </w:num>
  <w:num w:numId="9">
    <w:abstractNumId w:val="6"/>
  </w:num>
  <w:num w:numId="10">
    <w:abstractNumId w:val="11"/>
  </w:num>
  <w:num w:numId="11">
    <w:abstractNumId w:val="17"/>
  </w:num>
  <w:num w:numId="12">
    <w:abstractNumId w:val="1"/>
  </w:num>
  <w:num w:numId="13">
    <w:abstractNumId w:val="16"/>
  </w:num>
  <w:num w:numId="14">
    <w:abstractNumId w:val="2"/>
  </w:num>
  <w:num w:numId="15">
    <w:abstractNumId w:val="15"/>
  </w:num>
  <w:num w:numId="16">
    <w:abstractNumId w:val="14"/>
  </w:num>
  <w:num w:numId="17">
    <w:abstractNumId w:val="8"/>
  </w:num>
  <w:num w:numId="18">
    <w:abstractNumId w:val="10"/>
  </w:num>
  <w:num w:numId="19">
    <w:abstractNumId w:val="6"/>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8"/>
    <w:lvlOverride w:ilvl="0">
      <w:startOverride w:val="1"/>
    </w:lvlOverride>
  </w:num>
  <w:num w:numId="23">
    <w:abstractNumId w:val="10"/>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0"/>
    <w:lvlOverride w:ilvl="0">
      <w:startOverride w:val="1"/>
    </w:lvlOverride>
  </w:num>
  <w:num w:numId="2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36771"/>
    <w:rsid w:val="0058712A"/>
    <w:rsid w:val="00C36771"/>
    <w:rsid w:val="00E70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jc w:val="both"/>
      <w:textAlignment w:val="center"/>
    </w:pPr>
    <w:rPr>
      <w:rFonts w:ascii="Times New Roman" w:eastAsia="華康細明體, 微軟正黑體"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w:hAnsi="Times New Roman" w:cs="Times New Roman"/>
      <w:sz w:val="21"/>
      <w:lang w:bidi="ar-SA"/>
    </w:rPr>
  </w:style>
  <w:style w:type="paragraph" w:styleId="affffffe">
    <w:name w:val="List Paragraph"/>
    <w:basedOn w:val="Standard"/>
    <w:pPr>
      <w:wordWrap/>
      <w:ind w:left="480"/>
      <w:jc w:val="left"/>
      <w:textAlignment w:val="auto"/>
    </w:pPr>
    <w:rPr>
      <w:rFonts w:ascii="Calibri" w:eastAsia="新細明體, PMingLiU" w:hAnsi="Calibri"/>
      <w:sz w:val="24"/>
      <w:szCs w:val="22"/>
    </w:rPr>
  </w:style>
  <w:style w:type="paragraph" w:customStyle="1" w:styleId="Footnote">
    <w:name w:val="Footnote"/>
    <w:basedOn w:val="Standard"/>
    <w:pPr>
      <w:wordWrap/>
      <w:snapToGrid w:val="0"/>
      <w:jc w:val="left"/>
      <w:textAlignment w:val="auto"/>
    </w:pPr>
    <w:rPr>
      <w:rFonts w:eastAsia="新細明體, PMingLiU"/>
      <w:sz w:val="20"/>
      <w:szCs w:val="20"/>
    </w:rPr>
  </w:style>
  <w:style w:type="paragraph" w:customStyle="1" w:styleId="110">
    <w:name w:val="標題 11"/>
    <w:basedOn w:val="Standard"/>
    <w:pPr>
      <w:wordWrap/>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spacing w:before="280" w:after="280"/>
      <w:jc w:val="left"/>
      <w:textAlignment w:val="auto"/>
    </w:pPr>
    <w:rPr>
      <w:rFonts w:ascii="新細明體, PMingLiU" w:eastAsia="新細明體, PMingLiU" w:hAnsi="新細明體, PMingLiU" w:cs="新細明體, PMingLiU"/>
      <w:kern w:val="0"/>
      <w:sz w:val="24"/>
    </w:rPr>
  </w:style>
  <w:style w:type="paragraph" w:customStyle="1" w:styleId="19">
    <w:name w:val="表格內文1"/>
    <w:pPr>
      <w:widowControl/>
      <w:textAlignment w:val="auto"/>
    </w:pPr>
    <w:rPr>
      <w:rFonts w:ascii="Calibri" w:hAnsi="Calibri" w:cs="Times New Roman"/>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a">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w:hAnsi="Times New Roman" w:cs="Times New Roman"/>
      <w:sz w:val="21"/>
      <w:szCs w:val="20"/>
    </w:rPr>
  </w:style>
  <w:style w:type="character" w:customStyle="1" w:styleId="afffffff0">
    <w:name w:val="頁首 字元"/>
    <w:rPr>
      <w:rFonts w:ascii="Times New Roman" w:eastAsia="華康細明體, 微軟正黑體"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w:hAnsi="Times New Roman" w:cs="Times New Roman"/>
      <w:kern w:val="3"/>
      <w:sz w:val="21"/>
      <w:szCs w:val="24"/>
    </w:rPr>
  </w:style>
  <w:style w:type="character" w:customStyle="1" w:styleId="afffffff8">
    <w:name w:val="註解主旨 字元"/>
    <w:rPr>
      <w:rFonts w:ascii="Times New Roman" w:eastAsia="華康細明體, 微軟正黑體"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hAnsi="新細明體, PMingLiU" w:cs="新細明體, PMingLiU"/>
      <w:sz w:val="32"/>
      <w:szCs w:val="32"/>
    </w:rPr>
  </w:style>
  <w:style w:type="character" w:customStyle="1" w:styleId="WW8Num30z0">
    <w:name w:val="WW8Num30z0"/>
    <w:rPr>
      <w:rFonts w:ascii="標楷體" w:eastAsia="標楷體" w:hAnsi="標楷體" w:cs="新細明體, PMingLiU"/>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30">
    <w:name w:val="WW8Num30"/>
    <w:basedOn w:val="a2"/>
    <w:pPr>
      <w:numPr>
        <w:numId w:val="17"/>
      </w:numPr>
    </w:pPr>
  </w:style>
  <w:style w:type="numbering" w:customStyle="1" w:styleId="WW8Num26">
    <w:name w:val="WW8Num26"/>
    <w:basedOn w:val="a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jc w:val="both"/>
      <w:textAlignment w:val="center"/>
    </w:pPr>
    <w:rPr>
      <w:rFonts w:ascii="Times New Roman" w:eastAsia="華康細明體, 微軟正黑體"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w:hAnsi="Times New Roman" w:cs="Times New Roman"/>
      <w:sz w:val="21"/>
      <w:lang w:bidi="ar-SA"/>
    </w:rPr>
  </w:style>
  <w:style w:type="paragraph" w:styleId="affffffe">
    <w:name w:val="List Paragraph"/>
    <w:basedOn w:val="Standard"/>
    <w:pPr>
      <w:wordWrap/>
      <w:ind w:left="480"/>
      <w:jc w:val="left"/>
      <w:textAlignment w:val="auto"/>
    </w:pPr>
    <w:rPr>
      <w:rFonts w:ascii="Calibri" w:eastAsia="新細明體, PMingLiU" w:hAnsi="Calibri"/>
      <w:sz w:val="24"/>
      <w:szCs w:val="22"/>
    </w:rPr>
  </w:style>
  <w:style w:type="paragraph" w:customStyle="1" w:styleId="Footnote">
    <w:name w:val="Footnote"/>
    <w:basedOn w:val="Standard"/>
    <w:pPr>
      <w:wordWrap/>
      <w:snapToGrid w:val="0"/>
      <w:jc w:val="left"/>
      <w:textAlignment w:val="auto"/>
    </w:pPr>
    <w:rPr>
      <w:rFonts w:eastAsia="新細明體, PMingLiU"/>
      <w:sz w:val="20"/>
      <w:szCs w:val="20"/>
    </w:rPr>
  </w:style>
  <w:style w:type="paragraph" w:customStyle="1" w:styleId="110">
    <w:name w:val="標題 11"/>
    <w:basedOn w:val="Standard"/>
    <w:pPr>
      <w:wordWrap/>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spacing w:before="280" w:after="280"/>
      <w:jc w:val="left"/>
      <w:textAlignment w:val="auto"/>
    </w:pPr>
    <w:rPr>
      <w:rFonts w:ascii="新細明體, PMingLiU" w:eastAsia="新細明體, PMingLiU" w:hAnsi="新細明體, PMingLiU" w:cs="新細明體, PMingLiU"/>
      <w:kern w:val="0"/>
      <w:sz w:val="24"/>
    </w:rPr>
  </w:style>
  <w:style w:type="paragraph" w:customStyle="1" w:styleId="19">
    <w:name w:val="表格內文1"/>
    <w:pPr>
      <w:widowControl/>
      <w:textAlignment w:val="auto"/>
    </w:pPr>
    <w:rPr>
      <w:rFonts w:ascii="Calibri" w:hAnsi="Calibri" w:cs="Times New Roman"/>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a">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w:hAnsi="Times New Roman" w:cs="Times New Roman"/>
      <w:sz w:val="21"/>
      <w:szCs w:val="20"/>
    </w:rPr>
  </w:style>
  <w:style w:type="character" w:customStyle="1" w:styleId="afffffff0">
    <w:name w:val="頁首 字元"/>
    <w:rPr>
      <w:rFonts w:ascii="Times New Roman" w:eastAsia="華康細明體, 微軟正黑體"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w:hAnsi="Times New Roman" w:cs="Times New Roman"/>
      <w:kern w:val="3"/>
      <w:sz w:val="21"/>
      <w:szCs w:val="24"/>
    </w:rPr>
  </w:style>
  <w:style w:type="character" w:customStyle="1" w:styleId="afffffff8">
    <w:name w:val="註解主旨 字元"/>
    <w:rPr>
      <w:rFonts w:ascii="Times New Roman" w:eastAsia="華康細明體, 微軟正黑體"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hAnsi="新細明體, PMingLiU" w:cs="新細明體, PMingLiU"/>
      <w:sz w:val="32"/>
      <w:szCs w:val="32"/>
    </w:rPr>
  </w:style>
  <w:style w:type="character" w:customStyle="1" w:styleId="WW8Num30z0">
    <w:name w:val="WW8Num30z0"/>
    <w:rPr>
      <w:rFonts w:ascii="標楷體" w:eastAsia="標楷體" w:hAnsi="標楷體" w:cs="新細明體, PMingLiU"/>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30">
    <w:name w:val="WW8Num30"/>
    <w:basedOn w:val="a2"/>
    <w:pPr>
      <w:numPr>
        <w:numId w:val="17"/>
      </w:numPr>
    </w:pPr>
  </w:style>
  <w:style w:type="numbering" w:customStyle="1" w:styleId="WW8Num26">
    <w:name w:val="WW8Num26"/>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莊國榮</dc:creator>
  <cp:lastModifiedBy>人事主任</cp:lastModifiedBy>
  <cp:revision>1</cp:revision>
  <cp:lastPrinted>2023-10-17T17:35:00Z</cp:lastPrinted>
  <dcterms:created xsi:type="dcterms:W3CDTF">2022-09-29T10:44:00Z</dcterms:created>
  <dcterms:modified xsi:type="dcterms:W3CDTF">2023-10-26T01:38:00Z</dcterms:modified>
</cp:coreProperties>
</file>